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color w:val="0d0d0d"/>
          <w:highlight w:val="white"/>
        </w:rPr>
      </w:pPr>
      <w:r w:rsidDel="00000000" w:rsidR="00000000" w:rsidRPr="00000000">
        <w:rPr>
          <w:b w:val="1"/>
          <w:color w:val="0d0d0d"/>
          <w:highlight w:val="white"/>
          <w:rtl w:val="0"/>
        </w:rPr>
        <w:t xml:space="preserve">   </w:t>
      </w:r>
      <w:r w:rsidDel="00000000" w:rsidR="00000000" w:rsidRPr="00000000">
        <w:rPr>
          <w:b w:val="1"/>
          <w:color w:val="0d0d0d"/>
          <w:highlight w:val="white"/>
        </w:rPr>
        <w:drawing>
          <wp:inline distB="114300" distT="114300" distL="114300" distR="114300">
            <wp:extent cx="3654812" cy="814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4812" cy="814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                    </w:t>
      </w:r>
      <w:r w:rsidDel="00000000" w:rsidR="00000000" w:rsidRPr="00000000">
        <w:rPr>
          <w:b w:val="1"/>
          <w:color w:val="0d0d0d"/>
          <w:highlight w:val="white"/>
        </w:rPr>
        <w:drawing>
          <wp:inline distB="114300" distT="114300" distL="114300" distR="114300">
            <wp:extent cx="1274642" cy="52648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4642" cy="526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d0d0d"/>
          <w:highlight w:val="white"/>
        </w:rPr>
      </w:pPr>
      <w:r w:rsidDel="00000000" w:rsidR="00000000" w:rsidRPr="00000000">
        <w:rPr>
          <w:b w:val="1"/>
          <w:color w:val="0d0d0d"/>
          <w:highlight w:val="white"/>
          <w:rtl w:val="0"/>
        </w:rPr>
        <w:t xml:space="preserve">INFO SESIJA: 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Govor mržnje i zločin iz mržnje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d0d0d"/>
          <w:highlight w:val="white"/>
        </w:rPr>
      </w:pPr>
      <w:r w:rsidDel="00000000" w:rsidR="00000000" w:rsidRPr="00000000">
        <w:rPr>
          <w:b w:val="1"/>
          <w:color w:val="0d0d0d"/>
          <w:highlight w:val="white"/>
          <w:rtl w:val="0"/>
        </w:rPr>
        <w:t xml:space="preserve">Šta su, kako se boriti protiv njih i osnažiti LGBTIQ osobe?</w:t>
      </w:r>
    </w:p>
    <w:p w:rsidR="00000000" w:rsidDel="00000000" w:rsidP="00000000" w:rsidRDefault="00000000" w:rsidRPr="00000000" w14:paraId="00000006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d0d0d"/>
          <w:highlight w:val="white"/>
        </w:rPr>
      </w:pPr>
      <w:r w:rsidDel="00000000" w:rsidR="00000000" w:rsidRPr="00000000">
        <w:rPr>
          <w:b w:val="1"/>
          <w:color w:val="0d0d0d"/>
          <w:highlight w:val="white"/>
          <w:rtl w:val="0"/>
        </w:rPr>
        <w:t xml:space="preserve">Datum:</w:t>
      </w:r>
      <w:r w:rsidDel="00000000" w:rsidR="00000000" w:rsidRPr="00000000">
        <w:rPr>
          <w:color w:val="0d0d0d"/>
          <w:highlight w:val="white"/>
          <w:rtl w:val="0"/>
        </w:rPr>
        <w:t xml:space="preserve"> 25. april 2024. </w:t>
      </w:r>
    </w:p>
    <w:p w:rsidR="00000000" w:rsidDel="00000000" w:rsidP="00000000" w:rsidRDefault="00000000" w:rsidRPr="00000000" w14:paraId="00000009">
      <w:pPr>
        <w:jc w:val="center"/>
        <w:rPr>
          <w:color w:val="0d0d0d"/>
          <w:highlight w:val="white"/>
        </w:rPr>
      </w:pPr>
      <w:r w:rsidDel="00000000" w:rsidR="00000000" w:rsidRPr="00000000">
        <w:rPr>
          <w:b w:val="1"/>
          <w:color w:val="0d0d0d"/>
          <w:highlight w:val="white"/>
          <w:rtl w:val="0"/>
        </w:rPr>
        <w:t xml:space="preserve">Mjesto: </w:t>
      </w:r>
      <w:r w:rsidDel="00000000" w:rsidR="00000000" w:rsidRPr="00000000">
        <w:rPr>
          <w:color w:val="0d0d0d"/>
          <w:highlight w:val="white"/>
          <w:rtl w:val="0"/>
        </w:rPr>
        <w:t xml:space="preserve">HUB387, </w:t>
      </w:r>
      <w:r w:rsidDel="00000000" w:rsidR="00000000" w:rsidRPr="00000000">
        <w:rPr>
          <w:color w:val="1f1f1f"/>
          <w:highlight w:val="white"/>
          <w:rtl w:val="0"/>
        </w:rPr>
        <w:t xml:space="preserve">Maglajska 1, Sarajevo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17:00 - 17:30</w:t>
        <w:tab/>
        <w:tab/>
        <w:t xml:space="preserve">Dolazak i registracija učesnika/ca </w:t>
      </w:r>
    </w:p>
    <w:p w:rsidR="00000000" w:rsidDel="00000000" w:rsidP="00000000" w:rsidRDefault="00000000" w:rsidRPr="00000000" w14:paraId="0000000D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17:30 - 18:00 </w:t>
        <w:tab/>
        <w:tab/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Kako prepoznati govor mržnje i zločin iz mržnje</w:t>
      </w:r>
    </w:p>
    <w:p w:rsidR="00000000" w:rsidDel="00000000" w:rsidP="00000000" w:rsidRDefault="00000000" w:rsidRPr="00000000" w14:paraId="0000000F">
      <w:pPr>
        <w:ind w:left="2160" w:firstLine="0"/>
        <w:rPr>
          <w:i w:val="1"/>
          <w:color w:val="0d0d0d"/>
          <w:highlight w:val="white"/>
        </w:rPr>
      </w:pPr>
      <w:r w:rsidDel="00000000" w:rsidR="00000000" w:rsidRPr="00000000">
        <w:rPr>
          <w:i w:val="1"/>
          <w:color w:val="0d0d0d"/>
          <w:highlight w:val="white"/>
          <w:rtl w:val="0"/>
        </w:rPr>
        <w:t xml:space="preserve">Marija Lučić Ćatić</w:t>
      </w:r>
      <w:r w:rsidDel="00000000" w:rsidR="00000000" w:rsidRPr="00000000">
        <w:rPr>
          <w:color w:val="0d0d0d"/>
          <w:highlight w:val="white"/>
          <w:rtl w:val="0"/>
        </w:rPr>
        <w:t xml:space="preserve">, </w:t>
      </w:r>
      <w:r w:rsidDel="00000000" w:rsidR="00000000" w:rsidRPr="00000000">
        <w:rPr>
          <w:i w:val="1"/>
          <w:color w:val="0d0d0d"/>
          <w:highlight w:val="white"/>
          <w:rtl w:val="0"/>
        </w:rPr>
        <w:t xml:space="preserve">profesorica na Fakultetu za Kriminalistiku, kriminologiju i sigurnosne studije Univerziteta u Sarajevu</w:t>
      </w:r>
    </w:p>
    <w:p w:rsidR="00000000" w:rsidDel="00000000" w:rsidP="00000000" w:rsidRDefault="00000000" w:rsidRPr="00000000" w14:paraId="00000010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18:00 - 18:15 </w:t>
        <w:tab/>
        <w:tab/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Uloga MUP-a u procesu prijave zločina iz mržnje i govora mržnje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60" w:firstLine="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color w:val="0d0d0d"/>
          <w:highlight w:val="white"/>
          <w:rtl w:val="0"/>
        </w:rPr>
        <w:t xml:space="preserve">Saša Petrović,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inspektor Federalne uprave policije, </w:t>
      </w:r>
    </w:p>
    <w:p w:rsidR="00000000" w:rsidDel="00000000" w:rsidP="00000000" w:rsidRDefault="00000000" w:rsidRPr="00000000" w14:paraId="00000013">
      <w:pPr>
        <w:ind w:left="2160" w:firstLine="0"/>
        <w:rPr>
          <w:b w:val="1"/>
          <w:color w:val="0d0d0d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Federalno ministarstvo unutrašnjih poslova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18:15 - 18:30</w:t>
        <w:tab/>
        <w:tab/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Uloga tužilaštva</w:t>
      </w:r>
      <w:r w:rsidDel="00000000" w:rsidR="00000000" w:rsidRPr="00000000">
        <w:rPr>
          <w:color w:val="0d0d0d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u procesuiranju zločina iz mržnje i govora mržnje</w:t>
      </w:r>
    </w:p>
    <w:p w:rsidR="00000000" w:rsidDel="00000000" w:rsidP="00000000" w:rsidRDefault="00000000" w:rsidRPr="00000000" w14:paraId="00000016">
      <w:pPr>
        <w:ind w:left="2160" w:firstLine="0"/>
        <w:jc w:val="both"/>
        <w:rPr>
          <w:i w:val="1"/>
          <w:color w:val="0d0d0d"/>
          <w:highlight w:val="white"/>
        </w:rPr>
      </w:pPr>
      <w:r w:rsidDel="00000000" w:rsidR="00000000" w:rsidRPr="00000000">
        <w:rPr>
          <w:i w:val="1"/>
          <w:color w:val="0d0d0d"/>
          <w:highlight w:val="white"/>
          <w:rtl w:val="0"/>
        </w:rPr>
        <w:t xml:space="preserve">Nermin Keranović, tužilac u Tužilaštvu Kantona Sarajevo,</w:t>
      </w:r>
    </w:p>
    <w:p w:rsidR="00000000" w:rsidDel="00000000" w:rsidP="00000000" w:rsidRDefault="00000000" w:rsidRPr="00000000" w14:paraId="00000017">
      <w:pPr>
        <w:ind w:left="2160" w:firstLine="0"/>
        <w:jc w:val="both"/>
        <w:rPr>
          <w:b w:val="1"/>
          <w:color w:val="0d0d0d"/>
          <w:highlight w:val="white"/>
        </w:rPr>
      </w:pPr>
      <w:r w:rsidDel="00000000" w:rsidR="00000000" w:rsidRPr="00000000">
        <w:rPr>
          <w:i w:val="1"/>
          <w:color w:val="0d0d0d"/>
          <w:highlight w:val="white"/>
          <w:rtl w:val="0"/>
        </w:rPr>
        <w:t xml:space="preserve">kontakt osoba za LGBTI osobe za slučajeve zločina iz mržnje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18:30 - 18:45 </w:t>
        <w:tab/>
        <w:tab/>
      </w:r>
      <w:r w:rsidDel="00000000" w:rsidR="00000000" w:rsidRPr="00000000">
        <w:rPr>
          <w:b w:val="1"/>
          <w:color w:val="0d0d0d"/>
          <w:highlight w:val="white"/>
          <w:rtl w:val="0"/>
        </w:rPr>
        <w:t xml:space="preserve">Podrška Sarajevskog otvorenog centra LGBTI osobama</w:t>
      </w:r>
    </w:p>
    <w:p w:rsidR="00000000" w:rsidDel="00000000" w:rsidP="00000000" w:rsidRDefault="00000000" w:rsidRPr="00000000" w14:paraId="0000001A">
      <w:pPr>
        <w:ind w:left="2160" w:firstLine="0"/>
        <w:jc w:val="both"/>
        <w:rPr>
          <w:i w:val="1"/>
          <w:color w:val="0d0d0d"/>
          <w:highlight w:val="white"/>
        </w:rPr>
      </w:pPr>
      <w:r w:rsidDel="00000000" w:rsidR="00000000" w:rsidRPr="00000000">
        <w:rPr>
          <w:i w:val="1"/>
          <w:color w:val="0d0d0d"/>
          <w:highlight w:val="white"/>
          <w:rtl w:val="0"/>
        </w:rPr>
        <w:t xml:space="preserve">Amil Brković, programski koordinator i pravni savjetnik u</w:t>
      </w:r>
    </w:p>
    <w:p w:rsidR="00000000" w:rsidDel="00000000" w:rsidP="00000000" w:rsidRDefault="00000000" w:rsidRPr="00000000" w14:paraId="0000001B">
      <w:pPr>
        <w:ind w:left="2160" w:firstLine="0"/>
        <w:jc w:val="both"/>
        <w:rPr>
          <w:b w:val="1"/>
          <w:color w:val="0d0d0d"/>
          <w:highlight w:val="white"/>
        </w:rPr>
      </w:pPr>
      <w:r w:rsidDel="00000000" w:rsidR="00000000" w:rsidRPr="00000000">
        <w:rPr>
          <w:i w:val="1"/>
          <w:color w:val="0d0d0d"/>
          <w:highlight w:val="white"/>
          <w:rtl w:val="0"/>
        </w:rPr>
        <w:t xml:space="preserve">Sarajevskom otvorenom centru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color w:val="0d0d0d"/>
          <w:highlight w:val="white"/>
        </w:rPr>
      </w:pPr>
      <w:r w:rsidDel="00000000" w:rsidR="00000000" w:rsidRPr="00000000">
        <w:rPr>
          <w:color w:val="0d0d0d"/>
          <w:highlight w:val="white"/>
          <w:rtl w:val="0"/>
        </w:rPr>
        <w:t xml:space="preserve">18</w:t>
      </w:r>
      <w:r w:rsidDel="00000000" w:rsidR="00000000" w:rsidRPr="00000000">
        <w:rPr>
          <w:color w:val="0d0d0d"/>
          <w:highlight w:val="white"/>
          <w:rtl w:val="0"/>
        </w:rPr>
        <w:t xml:space="preserve">:45 - 19:</w:t>
      </w:r>
      <w:r w:rsidDel="00000000" w:rsidR="00000000" w:rsidRPr="00000000">
        <w:rPr>
          <w:color w:val="0d0d0d"/>
          <w:highlight w:val="white"/>
          <w:rtl w:val="0"/>
        </w:rPr>
        <w:t xml:space="preserve">15 </w:t>
        <w:tab/>
        <w:tab/>
      </w:r>
      <w:r w:rsidDel="00000000" w:rsidR="00000000" w:rsidRPr="00000000">
        <w:rPr>
          <w:color w:val="0d0d0d"/>
          <w:highlight w:val="white"/>
          <w:rtl w:val="0"/>
        </w:rPr>
        <w:t xml:space="preserve">Diskusija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color w:val="0d0d0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color w:val="0d0d0d"/>
          <w:highlight w:val="white"/>
          <w:rtl w:val="0"/>
        </w:rPr>
        <w:t xml:space="preserve">19:15 - 20:</w:t>
      </w:r>
      <w:r w:rsidDel="00000000" w:rsidR="00000000" w:rsidRPr="00000000">
        <w:rPr>
          <w:color w:val="0d0d0d"/>
          <w:highlight w:val="white"/>
          <w:rtl w:val="0"/>
        </w:rPr>
        <w:t xml:space="preserve">00 </w:t>
        <w:tab/>
        <w:tab/>
        <w:t xml:space="preserve">Večera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lineRule="auto"/>
        <w:rPr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Prema istraživanju Sarajevskog otvorenog centra iz 2023. godine o problemima i potrebama LGBTI osoba u Bosni i Hercegovini 41% LGBTI osoba doživjelo je verbalno/psihičko zlostavljanje, a 25% pretrpjelo je online zlostavljanje i nasilje. Međutim, značajan broj osoba nije prijavio nasilje, njih skoro 13% zbog neinformisanosti o mogućoj pomoći, a 17% zbog nepovjerenja u službene osobe. Alarmantno je i da 85% LGBTIQ ispitanika ne vjeruje policiji, što za posljedicu ima nizak broj prijavljenih i procesuiranih slučajeva govora mržnje, nasilja i zločina iz mržnje nad LGBTI osobama.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Kako bismo informisali LGBTIQ osobe o njihovim pravima i mehanizmima zaštite, u četvrtak 25. aprila organizujemo info sesiju na kojoj ćemo govoriti o procedurama za prijavu zločina iz mržnje i govora mržnje, ulogama policije i tužilaštva, kao i podršci koju SOC može pružiti žrtvama ovih slučajeva. Događaj je i prilika da se LGBTIQ osobe i predstavnici/e relevantnih institucija povežu i razmjene iskustva, s ciljem građenja dugoročne saradnje i povjerenja između zajednice i institucija.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Događaj je dio projekta ‘’Osnaživanje LGBTIQ glasova: borba protiv govora mržnje i zločina iz mržnje u Bosni Hercegovini’’ koji podržavaju Vijeće Evrope i Evropska unija.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