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E0" w:rsidRPr="00BC235F" w:rsidRDefault="00C66FE0" w:rsidP="00C66FE0">
      <w:pPr>
        <w:suppressAutoHyphens w:val="0"/>
        <w:jc w:val="both"/>
        <w:rPr>
          <w:rFonts w:eastAsia="Calibri"/>
          <w:szCs w:val="24"/>
          <w:lang w:val="en-GB"/>
        </w:rPr>
      </w:pPr>
      <w:r w:rsidRPr="00BC235F">
        <w:rPr>
          <w:rFonts w:eastAsia="Calibri"/>
          <w:szCs w:val="24"/>
          <w:lang w:val="en-GB"/>
        </w:rPr>
        <w:t>The Sarajevo Open Centre and the OSCE Mission to Bosnia and Herzegovina are pleased to invite researchers and activists to submit research papers for the following:</w:t>
      </w:r>
    </w:p>
    <w:p w:rsidR="00C66FE0" w:rsidRPr="00BC235F" w:rsidRDefault="00C66FE0" w:rsidP="00C66FE0">
      <w:pPr>
        <w:suppressAutoHyphens w:val="0"/>
        <w:jc w:val="both"/>
        <w:rPr>
          <w:rFonts w:eastAsia="Calibri"/>
          <w:szCs w:val="24"/>
          <w:lang w:val="en-GB"/>
        </w:rPr>
      </w:pPr>
    </w:p>
    <w:p w:rsidR="00C66FE0" w:rsidRPr="0006680C" w:rsidRDefault="00C66FE0" w:rsidP="00024EF4">
      <w:pPr>
        <w:suppressAutoHyphens w:val="0"/>
        <w:jc w:val="center"/>
        <w:rPr>
          <w:rFonts w:eastAsia="Calibri"/>
          <w:b/>
          <w:sz w:val="28"/>
          <w:szCs w:val="28"/>
          <w:lang w:val="en-GB"/>
        </w:rPr>
      </w:pPr>
      <w:r w:rsidRPr="0006680C">
        <w:rPr>
          <w:rFonts w:eastAsia="Calibri"/>
          <w:b/>
          <w:sz w:val="28"/>
          <w:szCs w:val="28"/>
          <w:lang w:val="en-GB"/>
        </w:rPr>
        <w:t>Call for Papers</w:t>
      </w:r>
    </w:p>
    <w:p w:rsidR="00C66FE0" w:rsidRPr="0006680C" w:rsidRDefault="00C66FE0" w:rsidP="00C66FE0">
      <w:pPr>
        <w:suppressAutoHyphens w:val="0"/>
        <w:jc w:val="both"/>
        <w:rPr>
          <w:rFonts w:eastAsia="Calibri"/>
          <w:b/>
          <w:sz w:val="28"/>
          <w:szCs w:val="28"/>
          <w:lang w:val="en-GB"/>
        </w:rPr>
      </w:pPr>
    </w:p>
    <w:p w:rsidR="00C66FE0" w:rsidRPr="0006680C" w:rsidRDefault="00C66FE0" w:rsidP="00C66FE0">
      <w:pPr>
        <w:suppressAutoHyphens w:val="0"/>
        <w:jc w:val="center"/>
        <w:rPr>
          <w:rFonts w:eastAsia="Calibri"/>
          <w:b/>
          <w:i/>
          <w:sz w:val="28"/>
          <w:szCs w:val="28"/>
          <w:lang w:val="en-GB"/>
        </w:rPr>
      </w:pPr>
      <w:r w:rsidRPr="0006680C">
        <w:rPr>
          <w:rFonts w:eastAsia="Calibri"/>
          <w:b/>
          <w:i/>
          <w:sz w:val="28"/>
          <w:szCs w:val="28"/>
          <w:lang w:val="en-GB"/>
        </w:rPr>
        <w:t>“What is the Gender of Security 2.0?</w:t>
      </w:r>
    </w:p>
    <w:p w:rsidR="00C66FE0" w:rsidRPr="0006680C" w:rsidRDefault="00C66FE0" w:rsidP="00C66FE0">
      <w:pPr>
        <w:suppressAutoHyphens w:val="0"/>
        <w:jc w:val="center"/>
        <w:rPr>
          <w:rFonts w:eastAsia="Calibri"/>
          <w:b/>
          <w:i/>
          <w:sz w:val="28"/>
          <w:szCs w:val="28"/>
          <w:lang w:val="en-GB"/>
        </w:rPr>
      </w:pPr>
      <w:r w:rsidRPr="0006680C">
        <w:rPr>
          <w:rFonts w:eastAsia="Calibri"/>
          <w:b/>
          <w:i/>
          <w:sz w:val="28"/>
          <w:szCs w:val="28"/>
          <w:lang w:val="en-GB"/>
        </w:rPr>
        <w:t>20 Years of the Women, Peace and Security Agenda</w:t>
      </w:r>
    </w:p>
    <w:p w:rsidR="00C66FE0" w:rsidRPr="0006680C" w:rsidRDefault="00C66FE0" w:rsidP="00C66FE0">
      <w:pPr>
        <w:suppressAutoHyphens w:val="0"/>
        <w:jc w:val="center"/>
        <w:rPr>
          <w:rFonts w:eastAsia="Calibri"/>
          <w:b/>
          <w:i/>
          <w:sz w:val="28"/>
          <w:szCs w:val="28"/>
          <w:lang w:val="en-GB"/>
        </w:rPr>
      </w:pPr>
      <w:proofErr w:type="gramStart"/>
      <w:r w:rsidRPr="0006680C">
        <w:rPr>
          <w:rFonts w:eastAsia="Calibri"/>
          <w:b/>
          <w:i/>
          <w:sz w:val="28"/>
          <w:szCs w:val="28"/>
          <w:lang w:val="en-GB"/>
        </w:rPr>
        <w:t>in</w:t>
      </w:r>
      <w:proofErr w:type="gramEnd"/>
      <w:r w:rsidRPr="0006680C">
        <w:rPr>
          <w:rFonts w:eastAsia="Calibri"/>
          <w:b/>
          <w:i/>
          <w:sz w:val="28"/>
          <w:szCs w:val="28"/>
          <w:lang w:val="en-GB"/>
        </w:rPr>
        <w:t xml:space="preserve"> the context of Bosnia and Herzegovina”</w:t>
      </w:r>
    </w:p>
    <w:p w:rsidR="00C66FE0" w:rsidRPr="00BC235F" w:rsidRDefault="00C66FE0" w:rsidP="00C66FE0">
      <w:pPr>
        <w:suppressAutoHyphens w:val="0"/>
        <w:jc w:val="both"/>
        <w:rPr>
          <w:rFonts w:eastAsia="Calibri"/>
          <w:szCs w:val="24"/>
          <w:lang w:val="en-GB"/>
        </w:rPr>
      </w:pPr>
    </w:p>
    <w:p w:rsidR="00C66FE0" w:rsidRPr="00BC235F" w:rsidRDefault="00C66FE0" w:rsidP="00024EF4">
      <w:pPr>
        <w:suppressAutoHyphens w:val="0"/>
        <w:jc w:val="center"/>
        <w:rPr>
          <w:rFonts w:eastAsia="Calibri"/>
          <w:szCs w:val="24"/>
          <w:lang w:val="en-GB"/>
        </w:rPr>
      </w:pPr>
      <w:r w:rsidRPr="00BC235F">
        <w:rPr>
          <w:rFonts w:eastAsia="Calibri"/>
          <w:szCs w:val="24"/>
          <w:lang w:val="en-GB"/>
        </w:rPr>
        <w:t>Application deadline: 1 October 2019</w:t>
      </w:r>
    </w:p>
    <w:p w:rsidR="00C66FE0" w:rsidRPr="00BC235F" w:rsidRDefault="00C66FE0" w:rsidP="00C66FE0">
      <w:pPr>
        <w:suppressAutoHyphens w:val="0"/>
        <w:jc w:val="both"/>
        <w:rPr>
          <w:rFonts w:eastAsia="Calibri"/>
          <w:szCs w:val="24"/>
          <w:lang w:val="en-GB"/>
        </w:rPr>
      </w:pPr>
    </w:p>
    <w:p w:rsidR="00C66FE0" w:rsidRPr="00BC235F" w:rsidRDefault="00C66FE0" w:rsidP="00C66FE0">
      <w:pPr>
        <w:suppressAutoHyphens w:val="0"/>
        <w:jc w:val="both"/>
        <w:rPr>
          <w:rFonts w:eastAsia="Calibri"/>
          <w:b/>
          <w:szCs w:val="24"/>
          <w:lang w:val="en-GB"/>
        </w:rPr>
      </w:pPr>
      <w:r w:rsidRPr="00BC235F">
        <w:rPr>
          <w:rFonts w:eastAsia="Calibri"/>
          <w:b/>
          <w:szCs w:val="24"/>
          <w:lang w:val="en-GB"/>
        </w:rPr>
        <w:t>Context</w:t>
      </w:r>
      <w:r w:rsidRPr="00BC235F">
        <w:rPr>
          <w:rFonts w:eastAsia="Calibri"/>
          <w:b/>
          <w:szCs w:val="24"/>
          <w:vertAlign w:val="superscript"/>
          <w:lang w:val="en-GB"/>
        </w:rPr>
        <w:footnoteReference w:id="1"/>
      </w:r>
    </w:p>
    <w:p w:rsidR="00C66FE0" w:rsidRPr="00BC235F" w:rsidRDefault="00C66FE0" w:rsidP="00C66FE0">
      <w:pPr>
        <w:suppressAutoHyphens w:val="0"/>
        <w:jc w:val="both"/>
        <w:rPr>
          <w:rFonts w:eastAsia="Calibri"/>
          <w:szCs w:val="24"/>
          <w:lang w:val="en-GB"/>
        </w:rPr>
      </w:pPr>
      <w:r w:rsidRPr="00BC235F">
        <w:rPr>
          <w:rFonts w:eastAsia="Calibri"/>
          <w:szCs w:val="24"/>
          <w:lang w:val="en-GB"/>
        </w:rPr>
        <w:t>Recognising that conflicts differently affect women, men, boys and girls and learning from the conflicts in the Balkans, but also from other parts of the world, in 2000 the UN Security Council adopted the Resolution (UNSCR) 1325 on “Women, Peace and Security”. UNSCR 1325 and the 8 subsequent Resolutions on “Women, Peace and Security” form policy framework on how international organisations, UN member states and civil society organisations should engage in early warning, conflict management, peace negotiations and post-conflict reconstruction, through insuring meaningful participation of women and men, from all societal groups and different identities. Bosnia and Herzegovina (</w:t>
      </w:r>
      <w:proofErr w:type="spellStart"/>
      <w:r w:rsidRPr="00BC235F">
        <w:rPr>
          <w:rFonts w:eastAsia="Calibri"/>
          <w:szCs w:val="24"/>
          <w:lang w:val="en-GB"/>
        </w:rPr>
        <w:t>BiH</w:t>
      </w:r>
      <w:proofErr w:type="spellEnd"/>
      <w:r w:rsidRPr="00BC235F">
        <w:rPr>
          <w:rFonts w:eastAsia="Calibri"/>
          <w:szCs w:val="24"/>
          <w:lang w:val="en-GB"/>
        </w:rPr>
        <w:t>) has been at the core of these developments. On the 20th anniversary of the adoption of UNSCR 1325 and with this research-in- action initiative we aim to reflect on developments in recent years.</w:t>
      </w:r>
    </w:p>
    <w:p w:rsidR="00C66FE0" w:rsidRPr="00BC235F" w:rsidRDefault="00C66FE0" w:rsidP="00C66FE0">
      <w:pPr>
        <w:suppressAutoHyphens w:val="0"/>
        <w:jc w:val="both"/>
        <w:rPr>
          <w:rFonts w:eastAsia="Calibri"/>
          <w:szCs w:val="24"/>
          <w:lang w:val="en-GB"/>
        </w:rPr>
      </w:pPr>
    </w:p>
    <w:p w:rsidR="00C66FE0" w:rsidRPr="00BC235F" w:rsidRDefault="00C66FE0" w:rsidP="00C66FE0">
      <w:pPr>
        <w:suppressAutoHyphens w:val="0"/>
        <w:jc w:val="both"/>
        <w:rPr>
          <w:rFonts w:eastAsia="Calibri"/>
          <w:b/>
          <w:szCs w:val="24"/>
          <w:lang w:val="en-GB"/>
        </w:rPr>
      </w:pPr>
      <w:r w:rsidRPr="00BC235F">
        <w:rPr>
          <w:rFonts w:eastAsia="Calibri"/>
          <w:b/>
          <w:szCs w:val="24"/>
          <w:lang w:val="en-GB"/>
        </w:rPr>
        <w:t>Research area</w:t>
      </w:r>
    </w:p>
    <w:p w:rsidR="00C66FE0" w:rsidRPr="00BC235F" w:rsidRDefault="00C66FE0" w:rsidP="00C66FE0">
      <w:pPr>
        <w:suppressAutoHyphens w:val="0"/>
        <w:jc w:val="both"/>
        <w:rPr>
          <w:rFonts w:eastAsia="Calibri"/>
          <w:szCs w:val="24"/>
          <w:lang w:val="en-GB"/>
        </w:rPr>
      </w:pPr>
      <w:r w:rsidRPr="00BC235F">
        <w:rPr>
          <w:rFonts w:eastAsia="Calibri"/>
          <w:szCs w:val="24"/>
          <w:lang w:val="en-GB"/>
        </w:rPr>
        <w:t xml:space="preserve">Submissions are welcome from all social sciences and humanities disciplines (including political science, sociology, law, </w:t>
      </w:r>
      <w:r w:rsidR="001D5E40">
        <w:t xml:space="preserve">economy, </w:t>
      </w:r>
      <w:r w:rsidRPr="00BC235F">
        <w:rPr>
          <w:rFonts w:eastAsia="Calibri"/>
          <w:szCs w:val="24"/>
          <w:lang w:val="en-GB"/>
        </w:rPr>
        <w:t xml:space="preserve">peace and conflict studies, security studies, criminology, pedagogy, gender studies, anthropology and ethnology) or from a multidisciplinary perspective. Submissions have to be non-fiction and with a research focus (i.e. empirical, qualitative, comparative). Submissions can deal with micro-, </w:t>
      </w:r>
      <w:proofErr w:type="spellStart"/>
      <w:r w:rsidRPr="00BC235F">
        <w:rPr>
          <w:rFonts w:eastAsia="Calibri"/>
          <w:szCs w:val="24"/>
          <w:lang w:val="en-GB"/>
        </w:rPr>
        <w:t>meso</w:t>
      </w:r>
      <w:proofErr w:type="spellEnd"/>
      <w:r w:rsidRPr="00BC235F">
        <w:rPr>
          <w:rFonts w:eastAsia="Calibri"/>
          <w:szCs w:val="24"/>
          <w:lang w:val="en-GB"/>
        </w:rPr>
        <w:t xml:space="preserve">- and/or macro-level realities or situation reviews. Submission should be related to </w:t>
      </w:r>
      <w:proofErr w:type="spellStart"/>
      <w:r w:rsidRPr="00BC235F">
        <w:rPr>
          <w:rFonts w:eastAsia="Calibri"/>
          <w:szCs w:val="24"/>
          <w:lang w:val="en-GB"/>
        </w:rPr>
        <w:t>BiH</w:t>
      </w:r>
      <w:proofErr w:type="spellEnd"/>
      <w:r w:rsidRPr="00BC235F">
        <w:rPr>
          <w:rFonts w:eastAsia="Calibri"/>
          <w:szCs w:val="24"/>
          <w:lang w:val="en-GB"/>
        </w:rPr>
        <w:t xml:space="preserve"> only or to </w:t>
      </w:r>
      <w:proofErr w:type="spellStart"/>
      <w:r w:rsidRPr="00BC235F">
        <w:rPr>
          <w:rFonts w:eastAsia="Calibri"/>
          <w:szCs w:val="24"/>
          <w:lang w:val="en-GB"/>
        </w:rPr>
        <w:t>BiH</w:t>
      </w:r>
      <w:proofErr w:type="spellEnd"/>
      <w:r w:rsidRPr="00BC235F">
        <w:rPr>
          <w:rFonts w:eastAsia="Calibri"/>
          <w:szCs w:val="24"/>
          <w:lang w:val="en-GB"/>
        </w:rPr>
        <w:t xml:space="preserve"> in a comparative perspective. Authors are invited to explore and discuss within the context of gender and security a variety of topics including, but not limited to: participation in political and public life, empowerment, gender based and sexual violence, masculinities, corruption, educational system developments, public policy development, local level developments, regional initiatives, etc. </w:t>
      </w:r>
    </w:p>
    <w:p w:rsidR="00C66FE0" w:rsidRPr="00BC235F" w:rsidRDefault="00C66FE0" w:rsidP="00C66FE0">
      <w:pPr>
        <w:suppressAutoHyphens w:val="0"/>
        <w:jc w:val="both"/>
        <w:rPr>
          <w:rFonts w:eastAsia="Calibri"/>
          <w:szCs w:val="24"/>
          <w:lang w:val="en-GB"/>
        </w:rPr>
      </w:pPr>
    </w:p>
    <w:p w:rsidR="00C66FE0" w:rsidRPr="00BC235F" w:rsidRDefault="00C66FE0" w:rsidP="00C66FE0">
      <w:pPr>
        <w:suppressAutoHyphens w:val="0"/>
        <w:jc w:val="both"/>
        <w:rPr>
          <w:rFonts w:eastAsia="Calibri"/>
          <w:b/>
          <w:szCs w:val="24"/>
          <w:lang w:val="en-GB"/>
        </w:rPr>
      </w:pPr>
      <w:r w:rsidRPr="00BC235F">
        <w:rPr>
          <w:rFonts w:eastAsia="Calibri"/>
          <w:b/>
          <w:szCs w:val="24"/>
          <w:lang w:val="en-GB"/>
        </w:rPr>
        <w:t>Who can apply?</w:t>
      </w:r>
    </w:p>
    <w:p w:rsidR="00C66FE0" w:rsidRPr="00BC235F" w:rsidRDefault="00C66FE0" w:rsidP="00C66FE0">
      <w:pPr>
        <w:suppressAutoHyphens w:val="0"/>
        <w:jc w:val="both"/>
        <w:rPr>
          <w:rFonts w:eastAsia="Calibri"/>
          <w:szCs w:val="24"/>
          <w:lang w:val="en-GB"/>
        </w:rPr>
      </w:pPr>
      <w:r w:rsidRPr="00BC235F">
        <w:rPr>
          <w:rFonts w:eastAsia="Calibri"/>
          <w:szCs w:val="24"/>
          <w:lang w:val="en-GB"/>
        </w:rPr>
        <w:t xml:space="preserve">This competition is open to female and male researchers and/or research-oriented activists currently residing in </w:t>
      </w:r>
      <w:proofErr w:type="spellStart"/>
      <w:r w:rsidRPr="00BC235F">
        <w:rPr>
          <w:rFonts w:eastAsia="Calibri"/>
          <w:szCs w:val="24"/>
          <w:lang w:val="en-GB"/>
        </w:rPr>
        <w:t>BiH</w:t>
      </w:r>
      <w:proofErr w:type="spellEnd"/>
      <w:r w:rsidRPr="00BC235F">
        <w:rPr>
          <w:rFonts w:eastAsia="Calibri"/>
          <w:szCs w:val="24"/>
          <w:lang w:val="en-GB"/>
        </w:rPr>
        <w:t xml:space="preserve">. Single author and co-authored texts are acceptable. We especially encourage applications from younger researchers, working on BA, MA or PhD theses, and from researchers from all parts of </w:t>
      </w:r>
      <w:proofErr w:type="spellStart"/>
      <w:r w:rsidRPr="00BC235F">
        <w:rPr>
          <w:rFonts w:eastAsia="Calibri"/>
          <w:szCs w:val="24"/>
          <w:lang w:val="en-GB"/>
        </w:rPr>
        <w:t>BiH</w:t>
      </w:r>
      <w:proofErr w:type="spellEnd"/>
      <w:r w:rsidRPr="00BC235F">
        <w:rPr>
          <w:rFonts w:eastAsia="Calibri"/>
          <w:szCs w:val="24"/>
          <w:lang w:val="en-GB"/>
        </w:rPr>
        <w:t xml:space="preserve">. </w:t>
      </w:r>
    </w:p>
    <w:p w:rsidR="00C66FE0" w:rsidRPr="00BC235F" w:rsidRDefault="00C66FE0" w:rsidP="00C66FE0">
      <w:pPr>
        <w:suppressAutoHyphens w:val="0"/>
        <w:jc w:val="both"/>
        <w:rPr>
          <w:rFonts w:eastAsia="Calibri"/>
          <w:szCs w:val="24"/>
          <w:lang w:val="en-GB"/>
        </w:rPr>
      </w:pPr>
    </w:p>
    <w:p w:rsidR="00C66FE0" w:rsidRPr="00BC235F" w:rsidRDefault="00C66FE0" w:rsidP="00C66FE0">
      <w:pPr>
        <w:suppressAutoHyphens w:val="0"/>
        <w:jc w:val="both"/>
        <w:rPr>
          <w:rFonts w:eastAsia="Calibri"/>
          <w:b/>
          <w:szCs w:val="24"/>
          <w:lang w:val="en-GB"/>
        </w:rPr>
      </w:pPr>
    </w:p>
    <w:p w:rsidR="00C66FE0" w:rsidRPr="00BC235F" w:rsidRDefault="00C66FE0" w:rsidP="00C66FE0">
      <w:pPr>
        <w:suppressAutoHyphens w:val="0"/>
        <w:jc w:val="both"/>
        <w:rPr>
          <w:rFonts w:eastAsia="Calibri"/>
          <w:b/>
          <w:szCs w:val="24"/>
          <w:lang w:val="en-GB"/>
        </w:rPr>
      </w:pPr>
      <w:r w:rsidRPr="00BC235F">
        <w:rPr>
          <w:rFonts w:eastAsia="Calibri"/>
          <w:b/>
          <w:szCs w:val="24"/>
          <w:lang w:val="en-GB"/>
        </w:rPr>
        <w:t>How to apply?</w:t>
      </w:r>
    </w:p>
    <w:p w:rsidR="00C66FE0" w:rsidRPr="00BC235F" w:rsidRDefault="00C66FE0" w:rsidP="00C66FE0">
      <w:pPr>
        <w:suppressAutoHyphens w:val="0"/>
        <w:jc w:val="both"/>
        <w:rPr>
          <w:rFonts w:eastAsia="Calibri"/>
          <w:szCs w:val="24"/>
          <w:lang w:val="en-GB"/>
        </w:rPr>
      </w:pPr>
      <w:r w:rsidRPr="00BC235F">
        <w:rPr>
          <w:rFonts w:eastAsia="Calibri"/>
          <w:szCs w:val="24"/>
          <w:lang w:val="en-GB"/>
        </w:rPr>
        <w:t xml:space="preserve">The formal criteria: </w:t>
      </w:r>
    </w:p>
    <w:p w:rsidR="00C66FE0" w:rsidRPr="00BC235F" w:rsidRDefault="00C66FE0" w:rsidP="00C66FE0">
      <w:pPr>
        <w:numPr>
          <w:ilvl w:val="0"/>
          <w:numId w:val="1"/>
        </w:numPr>
        <w:suppressAutoHyphens w:val="0"/>
        <w:spacing w:after="200" w:line="276" w:lineRule="auto"/>
        <w:jc w:val="both"/>
        <w:rPr>
          <w:rFonts w:eastAsia="Calibri"/>
          <w:szCs w:val="24"/>
          <w:lang w:val="en-GB"/>
        </w:rPr>
      </w:pPr>
      <w:r w:rsidRPr="00BC235F">
        <w:rPr>
          <w:rFonts w:eastAsia="Calibri"/>
          <w:szCs w:val="24"/>
          <w:lang w:val="en-GB"/>
        </w:rPr>
        <w:t xml:space="preserve">ca. 4000-7000 words, without automatic formatting; </w:t>
      </w:r>
    </w:p>
    <w:p w:rsidR="00C66FE0" w:rsidRPr="00BC235F" w:rsidRDefault="00C66FE0" w:rsidP="00C66FE0">
      <w:pPr>
        <w:numPr>
          <w:ilvl w:val="0"/>
          <w:numId w:val="1"/>
        </w:numPr>
        <w:suppressAutoHyphens w:val="0"/>
        <w:spacing w:after="200" w:line="276" w:lineRule="auto"/>
        <w:jc w:val="both"/>
        <w:rPr>
          <w:rFonts w:eastAsia="Calibri"/>
          <w:szCs w:val="24"/>
          <w:lang w:val="en-GB"/>
        </w:rPr>
      </w:pPr>
      <w:r w:rsidRPr="00BC235F">
        <w:rPr>
          <w:rFonts w:eastAsia="Calibri"/>
          <w:szCs w:val="24"/>
          <w:lang w:val="en-GB"/>
        </w:rPr>
        <w:t xml:space="preserve">12pt Times New Roman, footnotes in 10pt Times New Roman: </w:t>
      </w:r>
    </w:p>
    <w:p w:rsidR="00C66FE0" w:rsidRPr="00BC235F" w:rsidRDefault="00C66FE0" w:rsidP="00C66FE0">
      <w:pPr>
        <w:numPr>
          <w:ilvl w:val="0"/>
          <w:numId w:val="1"/>
        </w:numPr>
        <w:suppressAutoHyphens w:val="0"/>
        <w:spacing w:after="200" w:line="276" w:lineRule="auto"/>
        <w:jc w:val="both"/>
        <w:rPr>
          <w:rFonts w:eastAsia="Calibri"/>
          <w:szCs w:val="24"/>
          <w:lang w:val="en-GB"/>
        </w:rPr>
      </w:pPr>
      <w:r w:rsidRPr="00BC235F">
        <w:rPr>
          <w:rFonts w:eastAsia="Calibri"/>
          <w:szCs w:val="24"/>
          <w:lang w:val="en-GB"/>
        </w:rPr>
        <w:t xml:space="preserve">simple lines spacing, no indents, margins: </w:t>
      </w:r>
    </w:p>
    <w:p w:rsidR="00C66FE0" w:rsidRDefault="00C66FE0" w:rsidP="00C66FE0">
      <w:pPr>
        <w:numPr>
          <w:ilvl w:val="0"/>
          <w:numId w:val="1"/>
        </w:numPr>
        <w:suppressAutoHyphens w:val="0"/>
        <w:spacing w:after="200" w:line="276" w:lineRule="auto"/>
        <w:jc w:val="both"/>
        <w:rPr>
          <w:rFonts w:eastAsia="Calibri"/>
          <w:szCs w:val="24"/>
          <w:lang w:val="en-GB"/>
        </w:rPr>
      </w:pPr>
      <w:r w:rsidRPr="00BC235F">
        <w:rPr>
          <w:rFonts w:eastAsia="Calibri"/>
          <w:szCs w:val="24"/>
          <w:lang w:val="en-GB"/>
        </w:rPr>
        <w:t xml:space="preserve">APA citation style. </w:t>
      </w:r>
    </w:p>
    <w:p w:rsidR="001D5E40" w:rsidRPr="00BC235F" w:rsidRDefault="001D5E40" w:rsidP="00C66FE0">
      <w:pPr>
        <w:numPr>
          <w:ilvl w:val="0"/>
          <w:numId w:val="1"/>
        </w:numPr>
        <w:suppressAutoHyphens w:val="0"/>
        <w:spacing w:after="200" w:line="276" w:lineRule="auto"/>
        <w:jc w:val="both"/>
        <w:rPr>
          <w:rFonts w:eastAsia="Calibri"/>
          <w:szCs w:val="24"/>
          <w:lang w:val="en-GB"/>
        </w:rPr>
      </w:pPr>
      <w:r>
        <w:rPr>
          <w:rFonts w:ascii="Arial" w:hAnsi="Arial" w:cs="Arial"/>
          <w:color w:val="545454"/>
          <w:shd w:val="clear" w:color="auto" w:fill="FFFFFF"/>
        </w:rPr>
        <w:t> </w:t>
      </w:r>
      <w:r w:rsidRPr="001D5E40">
        <w:rPr>
          <w:rFonts w:eastAsia="Calibri"/>
          <w:szCs w:val="24"/>
          <w:lang w:val="en-GB"/>
        </w:rPr>
        <w:t>B</w:t>
      </w:r>
      <w:r>
        <w:rPr>
          <w:rFonts w:eastAsia="Calibri"/>
          <w:szCs w:val="24"/>
          <w:lang w:val="en-GB"/>
        </w:rPr>
        <w:t xml:space="preserve">osnian, </w:t>
      </w:r>
      <w:r w:rsidR="00B72957">
        <w:rPr>
          <w:rFonts w:eastAsia="Calibri"/>
          <w:szCs w:val="24"/>
          <w:lang w:val="en-GB"/>
        </w:rPr>
        <w:t xml:space="preserve">Croatian, Serbian </w:t>
      </w:r>
      <w:r w:rsidRPr="001D5E40">
        <w:rPr>
          <w:rFonts w:eastAsia="Calibri"/>
          <w:szCs w:val="24"/>
          <w:lang w:val="en-GB"/>
        </w:rPr>
        <w:t>language</w:t>
      </w:r>
      <w:r w:rsidR="00E21089">
        <w:rPr>
          <w:rFonts w:eastAsia="Calibri"/>
          <w:szCs w:val="24"/>
          <w:lang w:val="en-GB"/>
        </w:rPr>
        <w:t>.</w:t>
      </w:r>
    </w:p>
    <w:p w:rsidR="00C66FE0" w:rsidRPr="00BC235F" w:rsidRDefault="00C66FE0" w:rsidP="00C66FE0">
      <w:pPr>
        <w:suppressAutoHyphens w:val="0"/>
        <w:jc w:val="both"/>
        <w:rPr>
          <w:rFonts w:eastAsia="Calibri"/>
          <w:szCs w:val="24"/>
          <w:lang w:val="en-GB"/>
        </w:rPr>
      </w:pPr>
    </w:p>
    <w:p w:rsidR="00C66FE0" w:rsidRPr="00BC235F" w:rsidRDefault="00C66FE0" w:rsidP="00C66FE0">
      <w:pPr>
        <w:suppressAutoHyphens w:val="0"/>
        <w:jc w:val="both"/>
        <w:rPr>
          <w:rFonts w:eastAsia="Calibri"/>
          <w:szCs w:val="24"/>
          <w:lang w:val="en-GB"/>
        </w:rPr>
      </w:pPr>
      <w:r w:rsidRPr="00BC235F">
        <w:rPr>
          <w:rFonts w:eastAsia="Calibri"/>
          <w:szCs w:val="24"/>
          <w:lang w:val="en-GB"/>
        </w:rPr>
        <w:t xml:space="preserve">Please do not make reference to your name or institutional background in the paper. Submissions should be accompanied by a short biography (100-300 words) of the author/s in a separate Word document. Submissions should be sent electronically, by midnight on 1 October 2019 at the latest, to the e-mail address: </w:t>
      </w:r>
      <w:hyperlink r:id="rId8" w:history="1">
        <w:r w:rsidR="001D5E40" w:rsidRPr="0010188C">
          <w:rPr>
            <w:rStyle w:val="Hyperlink"/>
            <w:rFonts w:eastAsia="Calibri"/>
            <w:szCs w:val="24"/>
            <w:lang w:val="en-GB"/>
          </w:rPr>
          <w:t>jasmina@soc.ba</w:t>
        </w:r>
      </w:hyperlink>
      <w:r w:rsidRPr="00BC235F">
        <w:rPr>
          <w:rFonts w:eastAsia="Calibri"/>
          <w:szCs w:val="24"/>
          <w:lang w:val="en-GB"/>
        </w:rPr>
        <w:t xml:space="preserve">. Authors will be notified by an e-mail acknowledging receipt of their submission. </w:t>
      </w:r>
    </w:p>
    <w:p w:rsidR="00C66FE0" w:rsidRPr="00BC235F" w:rsidRDefault="00C66FE0" w:rsidP="00C66FE0">
      <w:pPr>
        <w:suppressAutoHyphens w:val="0"/>
        <w:jc w:val="both"/>
        <w:rPr>
          <w:rFonts w:eastAsia="Calibri"/>
          <w:szCs w:val="24"/>
          <w:lang w:val="en-GB"/>
        </w:rPr>
      </w:pPr>
      <w:bookmarkStart w:id="0" w:name="_GoBack"/>
      <w:bookmarkEnd w:id="0"/>
    </w:p>
    <w:p w:rsidR="00C66FE0" w:rsidRPr="00BC235F" w:rsidRDefault="00C66FE0" w:rsidP="00C66FE0">
      <w:pPr>
        <w:suppressAutoHyphens w:val="0"/>
        <w:jc w:val="both"/>
        <w:rPr>
          <w:rFonts w:eastAsia="Calibri"/>
          <w:b/>
          <w:szCs w:val="24"/>
          <w:lang w:val="en-GB"/>
        </w:rPr>
      </w:pPr>
      <w:r w:rsidRPr="00BC235F">
        <w:rPr>
          <w:rFonts w:eastAsia="Calibri"/>
          <w:b/>
          <w:szCs w:val="24"/>
          <w:lang w:val="en-GB"/>
        </w:rPr>
        <w:t>Selection procedure</w:t>
      </w:r>
    </w:p>
    <w:p w:rsidR="00C66FE0" w:rsidRPr="00BC235F" w:rsidRDefault="00C66FE0" w:rsidP="00C66FE0">
      <w:pPr>
        <w:suppressAutoHyphens w:val="0"/>
        <w:jc w:val="both"/>
        <w:rPr>
          <w:color w:val="000000"/>
          <w:szCs w:val="24"/>
          <w:lang w:val="en-GB" w:eastAsia="bs-Latn-BA"/>
        </w:rPr>
      </w:pPr>
      <w:r w:rsidRPr="00BC235F">
        <w:rPr>
          <w:rFonts w:eastAsia="Calibri"/>
          <w:szCs w:val="24"/>
          <w:lang w:val="en-GB"/>
        </w:rPr>
        <w:t xml:space="preserve">A selection panel composed of staff members of the OSCE Mission to </w:t>
      </w:r>
      <w:proofErr w:type="spellStart"/>
      <w:r w:rsidRPr="00BC235F">
        <w:rPr>
          <w:rFonts w:eastAsia="Calibri"/>
          <w:szCs w:val="24"/>
          <w:lang w:val="en-GB"/>
        </w:rPr>
        <w:t>BiH</w:t>
      </w:r>
      <w:proofErr w:type="spellEnd"/>
      <w:r w:rsidRPr="00BC235F">
        <w:rPr>
          <w:rFonts w:eastAsia="Calibri"/>
          <w:szCs w:val="24"/>
          <w:lang w:val="en-GB"/>
        </w:rPr>
        <w:t xml:space="preserve"> and academic and civil society experts will review the submissions. Authors of the selected papers will be </w:t>
      </w:r>
      <w:proofErr w:type="gramStart"/>
      <w:r w:rsidRPr="00BC235F">
        <w:rPr>
          <w:rFonts w:eastAsia="Calibri"/>
          <w:szCs w:val="24"/>
          <w:lang w:val="en-GB"/>
        </w:rPr>
        <w:t>invited</w:t>
      </w:r>
      <w:proofErr w:type="gramEnd"/>
      <w:r w:rsidRPr="00BC235F">
        <w:rPr>
          <w:rFonts w:eastAsia="Calibri"/>
          <w:szCs w:val="24"/>
          <w:lang w:val="en-GB"/>
        </w:rPr>
        <w:t xml:space="preserve"> to a two-day-workshop (November or December 2019) in which the texts will be discussed and critiqued</w:t>
      </w:r>
      <w:r w:rsidR="00BC235F">
        <w:rPr>
          <w:rFonts w:eastAsia="Calibri"/>
          <w:szCs w:val="24"/>
          <w:lang w:val="en-GB"/>
        </w:rPr>
        <w:t>.</w:t>
      </w:r>
      <w:r w:rsidRPr="00BC235F">
        <w:rPr>
          <w:rFonts w:eastAsia="Calibri"/>
          <w:szCs w:val="24"/>
          <w:lang w:val="en-GB"/>
        </w:rPr>
        <w:t xml:space="preserve"> </w:t>
      </w:r>
      <w:r w:rsidRPr="00BC235F">
        <w:rPr>
          <w:color w:val="000000"/>
          <w:szCs w:val="24"/>
          <w:lang w:val="en-GB" w:eastAsia="bs-Latn-BA"/>
        </w:rPr>
        <w:t xml:space="preserve">All authors who submitted their proposals will be notified of the result of the selection process by 1 November 2019. </w:t>
      </w:r>
      <w:r w:rsidRPr="00BC235F">
        <w:rPr>
          <w:rFonts w:eastAsia="Calibri"/>
          <w:szCs w:val="24"/>
          <w:lang w:val="en-GB"/>
        </w:rPr>
        <w:t xml:space="preserve">An honorarium of BAM 400 will be paid per published article. The publication will be </w:t>
      </w:r>
      <w:r w:rsidR="00BC235F">
        <w:rPr>
          <w:rFonts w:eastAsia="Calibri"/>
          <w:szCs w:val="24"/>
          <w:lang w:val="en-GB"/>
        </w:rPr>
        <w:t xml:space="preserve">presented </w:t>
      </w:r>
      <w:r w:rsidR="0006680C">
        <w:rPr>
          <w:rFonts w:eastAsia="Calibri"/>
          <w:szCs w:val="24"/>
          <w:lang w:val="en-GB"/>
        </w:rPr>
        <w:t>in 2020 at two round table events</w:t>
      </w:r>
      <w:r w:rsidRPr="00BC235F">
        <w:rPr>
          <w:rFonts w:eastAsia="Calibri"/>
          <w:szCs w:val="24"/>
          <w:lang w:val="en-GB"/>
        </w:rPr>
        <w:t xml:space="preserve"> </w:t>
      </w:r>
      <w:r w:rsidR="0006680C">
        <w:rPr>
          <w:rFonts w:eastAsia="Calibri"/>
          <w:szCs w:val="24"/>
          <w:lang w:val="en-GB"/>
        </w:rPr>
        <w:t>organised</w:t>
      </w:r>
      <w:r w:rsidRPr="00BC235F">
        <w:rPr>
          <w:rFonts w:eastAsia="Calibri"/>
          <w:szCs w:val="24"/>
          <w:lang w:val="en-GB"/>
        </w:rPr>
        <w:t xml:space="preserve"> by the Sarajevo Open Centre and the OSCE Mission to Bosnia and Herzegovina. </w:t>
      </w:r>
    </w:p>
    <w:p w:rsidR="00C66FE0" w:rsidRPr="00BC235F" w:rsidRDefault="00C66FE0" w:rsidP="00C66FE0">
      <w:pPr>
        <w:suppressAutoHyphens w:val="0"/>
        <w:jc w:val="both"/>
        <w:rPr>
          <w:rFonts w:eastAsia="Calibri"/>
          <w:szCs w:val="24"/>
          <w:lang w:val="en-GB"/>
        </w:rPr>
      </w:pPr>
    </w:p>
    <w:p w:rsidR="00C66FE0" w:rsidRPr="00BC235F" w:rsidRDefault="00C66FE0" w:rsidP="00C66FE0">
      <w:pPr>
        <w:suppressAutoHyphens w:val="0"/>
        <w:jc w:val="both"/>
        <w:rPr>
          <w:rFonts w:eastAsia="Calibri"/>
          <w:szCs w:val="24"/>
          <w:lang w:val="en-GB"/>
        </w:rPr>
      </w:pPr>
      <w:r w:rsidRPr="00BC235F">
        <w:rPr>
          <w:rFonts w:eastAsia="Calibri"/>
          <w:szCs w:val="24"/>
          <w:lang w:val="en-GB"/>
        </w:rPr>
        <w:t xml:space="preserve">If you have any questions, please contact us at </w:t>
      </w:r>
      <w:hyperlink r:id="rId9" w:history="1">
        <w:r w:rsidR="001D5E40">
          <w:rPr>
            <w:rFonts w:eastAsia="Calibri"/>
            <w:color w:val="0000FF"/>
            <w:szCs w:val="24"/>
            <w:u w:val="single"/>
            <w:lang w:val="en-GB"/>
          </w:rPr>
          <w:t>jasmina</w:t>
        </w:r>
        <w:r w:rsidRPr="00BC235F">
          <w:rPr>
            <w:rFonts w:eastAsia="Calibri"/>
            <w:color w:val="0000FF"/>
            <w:szCs w:val="24"/>
            <w:u w:val="single"/>
            <w:lang w:val="en-GB"/>
          </w:rPr>
          <w:t>@soc.ba</w:t>
        </w:r>
      </w:hyperlink>
      <w:r w:rsidRPr="00BC235F">
        <w:rPr>
          <w:rFonts w:eastAsia="Calibri"/>
          <w:szCs w:val="24"/>
          <w:lang w:val="en-GB"/>
        </w:rPr>
        <w:t xml:space="preserve"> </w:t>
      </w:r>
      <w:r w:rsidR="0006680C">
        <w:rPr>
          <w:rFonts w:eastAsia="Calibri"/>
          <w:szCs w:val="24"/>
          <w:lang w:val="en-GB"/>
        </w:rPr>
        <w:t xml:space="preserve">. </w:t>
      </w:r>
    </w:p>
    <w:p w:rsidR="00C66FE0" w:rsidRPr="00BC235F" w:rsidRDefault="00C66FE0" w:rsidP="00C66FE0">
      <w:pPr>
        <w:suppressAutoHyphens w:val="0"/>
        <w:spacing w:after="200" w:line="276" w:lineRule="auto"/>
        <w:jc w:val="both"/>
        <w:rPr>
          <w:rFonts w:eastAsia="Calibri"/>
          <w:szCs w:val="24"/>
          <w:lang w:val="en-GB"/>
        </w:rPr>
      </w:pPr>
    </w:p>
    <w:p w:rsidR="004E7100" w:rsidRPr="00FA0EB6" w:rsidRDefault="004E7100" w:rsidP="00FA0EB6">
      <w:pPr>
        <w:rPr>
          <w:lang w:val="en-GB"/>
        </w:rPr>
      </w:pPr>
    </w:p>
    <w:sectPr w:rsidR="004E7100" w:rsidRPr="00FA0EB6" w:rsidSect="00FA0EB6">
      <w:headerReference w:type="default" r:id="rId10"/>
      <w:footerReference w:type="default" r:id="rId11"/>
      <w:headerReference w:type="first" r:id="rId12"/>
      <w:footerReference w:type="first" r:id="rId13"/>
      <w:pgSz w:w="11907" w:h="16840" w:code="9"/>
      <w:pgMar w:top="1134" w:right="1418" w:bottom="454" w:left="1418" w:header="720" w:footer="737"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F69" w:rsidRDefault="008F7F69">
      <w:r>
        <w:separator/>
      </w:r>
    </w:p>
  </w:endnote>
  <w:endnote w:type="continuationSeparator" w:id="0">
    <w:p w:rsidR="008F7F69" w:rsidRDefault="008F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8" w:rsidRDefault="00A175E8" w:rsidP="00DC0B87">
    <w:pPr>
      <w:pStyle w:val="Footer"/>
      <w:pBdr>
        <w:bottom w:val="single" w:sz="4" w:space="1" w:color="auto"/>
      </w:pBdr>
      <w:jc w:val="right"/>
    </w:pPr>
    <w:r>
      <w:t xml:space="preserve">Page </w:t>
    </w:r>
    <w:r>
      <w:fldChar w:fldCharType="begin"/>
    </w:r>
    <w:r>
      <w:instrText xml:space="preserve"> PAGE   \* MERGEFORMAT </w:instrText>
    </w:r>
    <w:r>
      <w:fldChar w:fldCharType="separate"/>
    </w:r>
    <w:r w:rsidR="00B72957">
      <w:rPr>
        <w:noProof/>
      </w:rPr>
      <w:t>2</w:t>
    </w:r>
    <w:r>
      <w:fldChar w:fldCharType="end"/>
    </w:r>
  </w:p>
  <w:tbl>
    <w:tblPr>
      <w:tblW w:w="5000" w:type="pct"/>
      <w:tblCellMar>
        <w:left w:w="0" w:type="dxa"/>
        <w:right w:w="0" w:type="dxa"/>
      </w:tblCellMar>
      <w:tblLook w:val="01E0" w:firstRow="1" w:lastRow="1" w:firstColumn="1" w:lastColumn="1" w:noHBand="0" w:noVBand="0"/>
    </w:tblPr>
    <w:tblGrid>
      <w:gridCol w:w="5220"/>
      <w:gridCol w:w="2564"/>
      <w:gridCol w:w="1287"/>
    </w:tblGrid>
    <w:tr w:rsidR="00FA0EB6" w:rsidRPr="004D2E04" w:rsidTr="004D2E04">
      <w:trPr>
        <w:trHeight w:hRule="exact" w:val="680"/>
      </w:trPr>
      <w:tc>
        <w:tcPr>
          <w:tcW w:w="5220" w:type="dxa"/>
          <w:shd w:val="clear" w:color="auto" w:fill="auto"/>
          <w:vAlign w:val="bottom"/>
        </w:tcPr>
        <w:p w:rsidR="00FA0EB6" w:rsidRPr="004D2E04" w:rsidRDefault="00FA0EB6" w:rsidP="004D2E04">
          <w:pPr>
            <w:pStyle w:val="Footer"/>
            <w:jc w:val="left"/>
            <w:rPr>
              <w:sz w:val="16"/>
              <w:szCs w:val="16"/>
            </w:rPr>
          </w:pPr>
        </w:p>
      </w:tc>
      <w:tc>
        <w:tcPr>
          <w:tcW w:w="2564" w:type="dxa"/>
          <w:shd w:val="clear" w:color="auto" w:fill="auto"/>
        </w:tcPr>
        <w:p w:rsidR="00FA0EB6" w:rsidRPr="004D2E04" w:rsidRDefault="00FA0EB6" w:rsidP="004D2E04">
          <w:pPr>
            <w:pStyle w:val="Footer"/>
            <w:jc w:val="right"/>
            <w:rPr>
              <w:sz w:val="16"/>
              <w:szCs w:val="16"/>
            </w:rPr>
          </w:pPr>
        </w:p>
      </w:tc>
      <w:tc>
        <w:tcPr>
          <w:tcW w:w="1287" w:type="dxa"/>
          <w:shd w:val="clear" w:color="auto" w:fill="auto"/>
        </w:tcPr>
        <w:p w:rsidR="00FA0EB6" w:rsidRPr="003A2814" w:rsidRDefault="00FA0EB6" w:rsidP="004D2E04">
          <w:pPr>
            <w:pStyle w:val="Footer"/>
            <w:spacing w:before="40"/>
            <w:jc w:val="left"/>
            <w:rPr>
              <w:rStyle w:val="FooterHyperlink"/>
            </w:rPr>
          </w:pPr>
        </w:p>
      </w:tc>
    </w:tr>
  </w:tbl>
  <w:p w:rsidR="00A175E8" w:rsidRPr="00DC0B87" w:rsidRDefault="00A175E8" w:rsidP="00DC0B87">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8" w:rsidRDefault="00A175E8" w:rsidP="00DC0B87">
    <w:pPr>
      <w:pStyle w:val="Footer"/>
      <w:pBdr>
        <w:bottom w:val="single" w:sz="4" w:space="1" w:color="auto"/>
      </w:pBdr>
      <w:jc w:val="right"/>
    </w:pPr>
    <w:r>
      <w:t xml:space="preserve">Page </w:t>
    </w:r>
    <w:r>
      <w:fldChar w:fldCharType="begin"/>
    </w:r>
    <w:r>
      <w:instrText xml:space="preserve"> PAGE   \* MERGEFORMAT </w:instrText>
    </w:r>
    <w:r>
      <w:fldChar w:fldCharType="separate"/>
    </w:r>
    <w:r w:rsidR="00FA0EB6">
      <w:rPr>
        <w:noProof/>
      </w:rPr>
      <w:t>1</w:t>
    </w:r>
    <w:r>
      <w:fldChar w:fldCharType="end"/>
    </w:r>
  </w:p>
  <w:tbl>
    <w:tblPr>
      <w:tblW w:w="5000" w:type="pct"/>
      <w:tblCellMar>
        <w:left w:w="0" w:type="dxa"/>
        <w:right w:w="0" w:type="dxa"/>
      </w:tblCellMar>
      <w:tblLook w:val="01E0" w:firstRow="1" w:lastRow="1" w:firstColumn="1" w:lastColumn="1" w:noHBand="0" w:noVBand="0"/>
    </w:tblPr>
    <w:tblGrid>
      <w:gridCol w:w="5220"/>
      <w:gridCol w:w="2564"/>
      <w:gridCol w:w="1287"/>
    </w:tblGrid>
    <w:tr w:rsidR="00A175E8" w:rsidRPr="004D2E04" w:rsidTr="004D2E04">
      <w:trPr>
        <w:trHeight w:hRule="exact" w:val="680"/>
      </w:trPr>
      <w:tc>
        <w:tcPr>
          <w:tcW w:w="5220" w:type="dxa"/>
          <w:shd w:val="clear" w:color="auto" w:fill="auto"/>
          <w:vAlign w:val="bottom"/>
        </w:tcPr>
        <w:p w:rsidR="00A175E8" w:rsidRPr="004D2E04" w:rsidRDefault="00A175E8" w:rsidP="004D2E04">
          <w:pPr>
            <w:pStyle w:val="Footer"/>
            <w:jc w:val="left"/>
            <w:rPr>
              <w:szCs w:val="14"/>
            </w:rPr>
          </w:pPr>
          <w:r w:rsidRPr="004D2E04">
            <w:rPr>
              <w:szCs w:val="14"/>
            </w:rPr>
            <w:t xml:space="preserve">Organization for Security and Co-operation in Europe · </w:t>
          </w:r>
          <w:smartTag w:uri="urn:schemas-microsoft-com:office:smarttags" w:element="City">
            <w:r w:rsidRPr="004D2E04">
              <w:rPr>
                <w:szCs w:val="14"/>
              </w:rPr>
              <w:t>Mission</w:t>
            </w:r>
          </w:smartTag>
          <w:r w:rsidRPr="004D2E04">
            <w:rPr>
              <w:szCs w:val="14"/>
            </w:rPr>
            <w:t xml:space="preserve"> to </w:t>
          </w:r>
          <w:smartTag w:uri="urn:schemas-microsoft-com:office:smarttags" w:element="place">
            <w:smartTag w:uri="urn:schemas-microsoft-com:office:smarttags" w:element="country-region">
              <w:r w:rsidRPr="004D2E04">
                <w:rPr>
                  <w:szCs w:val="14"/>
                </w:rPr>
                <w:t>Bosnia and Herzegovina</w:t>
              </w:r>
            </w:smartTag>
          </w:smartTag>
        </w:p>
        <w:p w:rsidR="00A175E8" w:rsidRPr="004D2E04" w:rsidRDefault="00A175E8" w:rsidP="004D2E04">
          <w:pPr>
            <w:pStyle w:val="Footer"/>
            <w:jc w:val="left"/>
            <w:rPr>
              <w:szCs w:val="14"/>
            </w:rPr>
          </w:pPr>
          <w:r w:rsidRPr="004D2E04">
            <w:rPr>
              <w:szCs w:val="14"/>
            </w:rPr>
            <w:t xml:space="preserve">Fra </w:t>
          </w:r>
          <w:proofErr w:type="spellStart"/>
          <w:r w:rsidRPr="004D2E04">
            <w:rPr>
              <w:szCs w:val="14"/>
            </w:rPr>
            <w:t>Anđela</w:t>
          </w:r>
          <w:proofErr w:type="spellEnd"/>
          <w:r w:rsidRPr="004D2E04">
            <w:rPr>
              <w:szCs w:val="14"/>
            </w:rPr>
            <w:t xml:space="preserve"> </w:t>
          </w:r>
          <w:proofErr w:type="spellStart"/>
          <w:r w:rsidRPr="004D2E04">
            <w:rPr>
              <w:szCs w:val="14"/>
            </w:rPr>
            <w:t>Zvizdovića</w:t>
          </w:r>
          <w:proofErr w:type="spellEnd"/>
          <w:r w:rsidRPr="004D2E04">
            <w:rPr>
              <w:szCs w:val="14"/>
            </w:rPr>
            <w:t xml:space="preserve"> 1 · 71000 </w:t>
          </w:r>
          <w:smartTag w:uri="urn:schemas-microsoft-com:office:smarttags" w:element="City">
            <w:r w:rsidRPr="004D2E04">
              <w:rPr>
                <w:szCs w:val="14"/>
              </w:rPr>
              <w:t>Sarajevo</w:t>
            </w:r>
          </w:smartTag>
          <w:r w:rsidRPr="004D2E04">
            <w:rPr>
              <w:szCs w:val="14"/>
            </w:rPr>
            <w:t xml:space="preserve"> · </w:t>
          </w:r>
          <w:smartTag w:uri="urn:schemas-microsoft-com:office:smarttags" w:element="country-region">
            <w:smartTag w:uri="urn:schemas-microsoft-com:office:smarttags" w:element="place">
              <w:r w:rsidRPr="004D2E04">
                <w:rPr>
                  <w:szCs w:val="14"/>
                </w:rPr>
                <w:t>Bosnia and Herzegovina</w:t>
              </w:r>
            </w:smartTag>
          </w:smartTag>
        </w:p>
        <w:p w:rsidR="00A175E8" w:rsidRPr="004D2E04" w:rsidRDefault="00A175E8" w:rsidP="004D2E04">
          <w:pPr>
            <w:pStyle w:val="Footer"/>
            <w:jc w:val="left"/>
            <w:rPr>
              <w:szCs w:val="14"/>
            </w:rPr>
          </w:pPr>
          <w:r w:rsidRPr="004D2E04">
            <w:rPr>
              <w:szCs w:val="14"/>
            </w:rPr>
            <w:t xml:space="preserve">Tel: +387-(0)33 752 100 · Fax: +387-(0)33 </w:t>
          </w:r>
          <w:r w:rsidRPr="004D2E04">
            <w:rPr>
              <w:rFonts w:cs="Arial"/>
              <w:szCs w:val="14"/>
            </w:rPr>
            <w:t>442 479</w:t>
          </w:r>
        </w:p>
        <w:p w:rsidR="00A175E8" w:rsidRPr="004D2E04" w:rsidRDefault="008F7F69" w:rsidP="004D2E04">
          <w:pPr>
            <w:pStyle w:val="Footer"/>
            <w:jc w:val="left"/>
            <w:rPr>
              <w:sz w:val="16"/>
              <w:szCs w:val="16"/>
            </w:rPr>
          </w:pPr>
          <w:hyperlink r:id="rId1" w:history="1">
            <w:r w:rsidR="00A175E8" w:rsidRPr="003A2814">
              <w:rPr>
                <w:rStyle w:val="FooterHyperlink"/>
              </w:rPr>
              <w:t>info.ba@osce.org</w:t>
            </w:r>
          </w:hyperlink>
          <w:r w:rsidR="00A175E8" w:rsidRPr="004D2E04">
            <w:rPr>
              <w:szCs w:val="14"/>
            </w:rPr>
            <w:t xml:space="preserve"> · </w:t>
          </w:r>
          <w:hyperlink r:id="rId2" w:history="1">
            <w:r w:rsidR="00A175E8" w:rsidRPr="003A2814">
              <w:rPr>
                <w:rStyle w:val="FooterHyperlink"/>
              </w:rPr>
              <w:t>www.oscebih.org</w:t>
            </w:r>
          </w:hyperlink>
        </w:p>
      </w:tc>
      <w:tc>
        <w:tcPr>
          <w:tcW w:w="2564" w:type="dxa"/>
          <w:shd w:val="clear" w:color="auto" w:fill="auto"/>
        </w:tcPr>
        <w:p w:rsidR="00A175E8" w:rsidRPr="004D2E04" w:rsidRDefault="001D5E40" w:rsidP="004D2E04">
          <w:pPr>
            <w:pStyle w:val="Footer"/>
            <w:jc w:val="right"/>
            <w:rPr>
              <w:sz w:val="16"/>
              <w:szCs w:val="16"/>
            </w:rPr>
          </w:pPr>
          <w:r w:rsidRPr="004D2E04">
            <w:rPr>
              <w:noProof/>
              <w:sz w:val="16"/>
              <w:szCs w:val="16"/>
              <w:lang w:val="en-GB" w:eastAsia="en-GB"/>
            </w:rPr>
            <w:drawing>
              <wp:inline distT="0" distB="0" distL="0" distR="0">
                <wp:extent cx="139065" cy="387985"/>
                <wp:effectExtent l="0" t="0" r="0" b="0"/>
                <wp:docPr id="3" name="Picture 3" descr="socialiconsBW-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iconsBW-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 cy="387985"/>
                        </a:xfrm>
                        <a:prstGeom prst="rect">
                          <a:avLst/>
                        </a:prstGeom>
                        <a:noFill/>
                        <a:ln>
                          <a:noFill/>
                        </a:ln>
                      </pic:spPr>
                    </pic:pic>
                  </a:graphicData>
                </a:graphic>
              </wp:inline>
            </w:drawing>
          </w:r>
        </w:p>
      </w:tc>
      <w:tc>
        <w:tcPr>
          <w:tcW w:w="1287" w:type="dxa"/>
          <w:shd w:val="clear" w:color="auto" w:fill="auto"/>
        </w:tcPr>
        <w:p w:rsidR="00A175E8" w:rsidRPr="003A2814" w:rsidRDefault="008F7F69" w:rsidP="004D2E04">
          <w:pPr>
            <w:pStyle w:val="Footer"/>
            <w:spacing w:before="40"/>
            <w:jc w:val="left"/>
            <w:rPr>
              <w:rStyle w:val="FooterHyperlink"/>
            </w:rPr>
          </w:pPr>
          <w:hyperlink r:id="rId4" w:history="1">
            <w:r w:rsidR="00A175E8" w:rsidRPr="003A2814">
              <w:rPr>
                <w:rStyle w:val="FooterHyperlink"/>
              </w:rPr>
              <w:t>Facebook.com/</w:t>
            </w:r>
            <w:proofErr w:type="spellStart"/>
            <w:r w:rsidR="00A175E8" w:rsidRPr="003A2814">
              <w:rPr>
                <w:rStyle w:val="FooterHyperlink"/>
              </w:rPr>
              <w:t>oscebih</w:t>
            </w:r>
            <w:proofErr w:type="spellEnd"/>
          </w:hyperlink>
        </w:p>
        <w:p w:rsidR="00A175E8" w:rsidRPr="003A2814" w:rsidRDefault="008F7F69" w:rsidP="004D2E04">
          <w:pPr>
            <w:pStyle w:val="Footer"/>
            <w:spacing w:before="40"/>
            <w:jc w:val="left"/>
            <w:rPr>
              <w:rStyle w:val="FooterHyperlink"/>
            </w:rPr>
          </w:pPr>
          <w:hyperlink r:id="rId5" w:history="1">
            <w:r w:rsidR="00A175E8" w:rsidRPr="003A2814">
              <w:rPr>
                <w:rStyle w:val="FooterHyperlink"/>
              </w:rPr>
              <w:t>Twitter.com/</w:t>
            </w:r>
            <w:proofErr w:type="spellStart"/>
            <w:r w:rsidR="00A175E8" w:rsidRPr="003A2814">
              <w:rPr>
                <w:rStyle w:val="FooterHyperlink"/>
              </w:rPr>
              <w:t>oscebih</w:t>
            </w:r>
            <w:proofErr w:type="spellEnd"/>
          </w:hyperlink>
        </w:p>
        <w:p w:rsidR="00A175E8" w:rsidRPr="003A2814" w:rsidRDefault="008F7F69" w:rsidP="004D2E04">
          <w:pPr>
            <w:pStyle w:val="Footer"/>
            <w:spacing w:before="40"/>
            <w:jc w:val="left"/>
            <w:rPr>
              <w:rStyle w:val="FooterHyperlink"/>
            </w:rPr>
          </w:pPr>
          <w:hyperlink r:id="rId6" w:history="1">
            <w:r w:rsidR="00A175E8" w:rsidRPr="003A2814">
              <w:rPr>
                <w:rStyle w:val="FooterHyperlink"/>
              </w:rPr>
              <w:t>Youtube.com/</w:t>
            </w:r>
            <w:proofErr w:type="spellStart"/>
            <w:r w:rsidR="00A175E8" w:rsidRPr="003A2814">
              <w:rPr>
                <w:rStyle w:val="FooterHyperlink"/>
              </w:rPr>
              <w:t>oscebih</w:t>
            </w:r>
            <w:proofErr w:type="spellEnd"/>
          </w:hyperlink>
        </w:p>
      </w:tc>
    </w:tr>
  </w:tbl>
  <w:p w:rsidR="00A175E8" w:rsidRDefault="00A175E8" w:rsidP="009A535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F69" w:rsidRDefault="008F7F69">
      <w:r>
        <w:separator/>
      </w:r>
    </w:p>
  </w:footnote>
  <w:footnote w:type="continuationSeparator" w:id="0">
    <w:p w:rsidR="008F7F69" w:rsidRDefault="008F7F69">
      <w:r>
        <w:continuationSeparator/>
      </w:r>
    </w:p>
  </w:footnote>
  <w:footnote w:id="1">
    <w:p w:rsidR="00C66FE0" w:rsidRPr="00BC235F" w:rsidRDefault="00C66FE0" w:rsidP="00C66FE0">
      <w:pPr>
        <w:rPr>
          <w:sz w:val="20"/>
          <w:lang w:val="hr-BA"/>
        </w:rPr>
      </w:pPr>
      <w:r w:rsidRPr="00BC235F">
        <w:rPr>
          <w:rStyle w:val="FootnoteReference"/>
          <w:sz w:val="20"/>
        </w:rPr>
        <w:footnoteRef/>
      </w:r>
      <w:r w:rsidRPr="00BC235F">
        <w:rPr>
          <w:sz w:val="20"/>
        </w:rPr>
        <w:t xml:space="preserve"> The Sarajevo Open Centre, on the initiative of Tobias </w:t>
      </w:r>
      <w:proofErr w:type="spellStart"/>
      <w:r w:rsidRPr="00BC235F">
        <w:rPr>
          <w:sz w:val="20"/>
        </w:rPr>
        <w:t>Flessenkemper</w:t>
      </w:r>
      <w:proofErr w:type="spellEnd"/>
      <w:r w:rsidRPr="00BC235F">
        <w:rPr>
          <w:sz w:val="20"/>
        </w:rPr>
        <w:t xml:space="preserve"> and </w:t>
      </w:r>
      <w:proofErr w:type="spellStart"/>
      <w:r w:rsidRPr="00BC235F">
        <w:rPr>
          <w:sz w:val="20"/>
        </w:rPr>
        <w:t>Damir</w:t>
      </w:r>
      <w:proofErr w:type="spellEnd"/>
      <w:r w:rsidRPr="00BC235F">
        <w:rPr>
          <w:sz w:val="20"/>
        </w:rPr>
        <w:t xml:space="preserve"> </w:t>
      </w:r>
      <w:proofErr w:type="spellStart"/>
      <w:r w:rsidRPr="00BC235F">
        <w:rPr>
          <w:sz w:val="20"/>
        </w:rPr>
        <w:t>Arsenijević</w:t>
      </w:r>
      <w:proofErr w:type="spellEnd"/>
      <w:r w:rsidRPr="00BC235F">
        <w:rPr>
          <w:sz w:val="20"/>
        </w:rPr>
        <w:t xml:space="preserve">, has run a similar call for papers and published an edited volume under the title </w:t>
      </w:r>
      <w:r w:rsidRPr="00BC235F">
        <w:rPr>
          <w:i/>
          <w:sz w:val="20"/>
        </w:rPr>
        <w:t>What is the Gender of Security?</w:t>
      </w:r>
      <w:r w:rsidRPr="00BC235F">
        <w:rPr>
          <w:sz w:val="20"/>
        </w:rPr>
        <w:t xml:space="preserve"> in 2013, available at: http://soc.ba/site/wp-content/uploads/2013/10/Kojeg-je-roda-sigurnost_PRINT_engl.pdf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8" w:rsidRDefault="001D5E40" w:rsidP="00DC0B87">
    <w:pPr>
      <w:pStyle w:val="Header"/>
      <w:pBdr>
        <w:bottom w:val="single" w:sz="4" w:space="1" w:color="auto"/>
      </w:pBdr>
    </w:pPr>
    <w:r>
      <w:rPr>
        <w:noProof/>
        <w:lang w:val="en-GB" w:eastAsia="en-GB"/>
      </w:rPr>
      <w:drawing>
        <wp:inline distT="0" distB="0" distL="0" distR="0">
          <wp:extent cx="3314065" cy="365760"/>
          <wp:effectExtent l="0" t="0" r="0" b="0"/>
          <wp:docPr id="18" name="Picture 18" descr="EN_BiH_OS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_BiH_OS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065" cy="365760"/>
                  </a:xfrm>
                  <a:prstGeom prst="rect">
                    <a:avLst/>
                  </a:prstGeom>
                  <a:noFill/>
                  <a:ln>
                    <a:noFill/>
                  </a:ln>
                </pic:spPr>
              </pic:pic>
            </a:graphicData>
          </a:graphic>
        </wp:inline>
      </w:drawing>
    </w:r>
    <w:r>
      <w:t xml:space="preserve">                    </w:t>
    </w:r>
    <w:r w:rsidRPr="001D5E40">
      <w:rPr>
        <w:noProof/>
        <w:lang w:val="en-GB" w:eastAsia="en-GB"/>
      </w:rPr>
      <w:drawing>
        <wp:inline distT="0" distB="0" distL="0" distR="0">
          <wp:extent cx="1440815" cy="475615"/>
          <wp:effectExtent l="0" t="0" r="0" b="0"/>
          <wp:docPr id="19" name="Picture 19" descr="C:\Users\Jasmina\Desktop\logo soc\SOC logo 1 -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smina\Desktop\logo soc\SOC logo 1 - 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815" cy="475615"/>
                  </a:xfrm>
                  <a:prstGeom prst="rect">
                    <a:avLst/>
                  </a:prstGeom>
                  <a:noFill/>
                  <a:ln>
                    <a:noFill/>
                  </a:ln>
                </pic:spPr>
              </pic:pic>
            </a:graphicData>
          </a:graphic>
        </wp:inline>
      </w:drawing>
    </w:r>
  </w:p>
  <w:p w:rsidR="00A175E8" w:rsidRPr="00DC0B87" w:rsidRDefault="00A175E8" w:rsidP="00DC0B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8" w:rsidRDefault="001D5E40" w:rsidP="00324592">
    <w:pPr>
      <w:pStyle w:val="Header"/>
      <w:pBdr>
        <w:bottom w:val="single" w:sz="4" w:space="1" w:color="auto"/>
      </w:pBdr>
    </w:pPr>
    <w:r>
      <w:rPr>
        <w:noProof/>
        <w:lang w:val="en-GB" w:eastAsia="en-GB"/>
      </w:rPr>
      <w:drawing>
        <wp:inline distT="0" distB="0" distL="0" distR="0">
          <wp:extent cx="3314065" cy="365760"/>
          <wp:effectExtent l="0" t="0" r="0" b="0"/>
          <wp:docPr id="2" name="Picture 2" descr="EN_BiH_OS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_BiH_OS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065" cy="365760"/>
                  </a:xfrm>
                  <a:prstGeom prst="rect">
                    <a:avLst/>
                  </a:prstGeom>
                  <a:noFill/>
                  <a:ln>
                    <a:noFill/>
                  </a:ln>
                </pic:spPr>
              </pic:pic>
            </a:graphicData>
          </a:graphic>
        </wp:inline>
      </w:drawing>
    </w:r>
  </w:p>
  <w:p w:rsidR="00A175E8" w:rsidRDefault="00A175E8" w:rsidP="003245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5EBC"/>
    <w:multiLevelType w:val="hybridMultilevel"/>
    <w:tmpl w:val="4F640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40"/>
    <w:rsid w:val="00014746"/>
    <w:rsid w:val="00021138"/>
    <w:rsid w:val="00024EF4"/>
    <w:rsid w:val="00053A32"/>
    <w:rsid w:val="0006680C"/>
    <w:rsid w:val="000B254B"/>
    <w:rsid w:val="000D0C6D"/>
    <w:rsid w:val="000E46B7"/>
    <w:rsid w:val="000F27DF"/>
    <w:rsid w:val="00114DBB"/>
    <w:rsid w:val="001666AA"/>
    <w:rsid w:val="001A33B1"/>
    <w:rsid w:val="001D036E"/>
    <w:rsid w:val="001D5E40"/>
    <w:rsid w:val="00251833"/>
    <w:rsid w:val="0029748E"/>
    <w:rsid w:val="002B66C4"/>
    <w:rsid w:val="00321CA2"/>
    <w:rsid w:val="00324592"/>
    <w:rsid w:val="00345F22"/>
    <w:rsid w:val="00386A41"/>
    <w:rsid w:val="003A22A1"/>
    <w:rsid w:val="003A2814"/>
    <w:rsid w:val="00425C7B"/>
    <w:rsid w:val="00431521"/>
    <w:rsid w:val="004352E5"/>
    <w:rsid w:val="00491855"/>
    <w:rsid w:val="004968EF"/>
    <w:rsid w:val="004D2E04"/>
    <w:rsid w:val="004E7100"/>
    <w:rsid w:val="00584DF6"/>
    <w:rsid w:val="005A2870"/>
    <w:rsid w:val="005C3D20"/>
    <w:rsid w:val="005F7357"/>
    <w:rsid w:val="00684456"/>
    <w:rsid w:val="006A1CB3"/>
    <w:rsid w:val="00765D93"/>
    <w:rsid w:val="00793CB0"/>
    <w:rsid w:val="008F7F69"/>
    <w:rsid w:val="009344B7"/>
    <w:rsid w:val="009A535E"/>
    <w:rsid w:val="009D2816"/>
    <w:rsid w:val="009F1C2A"/>
    <w:rsid w:val="00A1143C"/>
    <w:rsid w:val="00A175E8"/>
    <w:rsid w:val="00A76569"/>
    <w:rsid w:val="00A800AC"/>
    <w:rsid w:val="00A933B0"/>
    <w:rsid w:val="00B2087C"/>
    <w:rsid w:val="00B271C8"/>
    <w:rsid w:val="00B72957"/>
    <w:rsid w:val="00BC235F"/>
    <w:rsid w:val="00C05225"/>
    <w:rsid w:val="00C17F92"/>
    <w:rsid w:val="00C6013E"/>
    <w:rsid w:val="00C633F3"/>
    <w:rsid w:val="00C66FE0"/>
    <w:rsid w:val="00C71924"/>
    <w:rsid w:val="00CC505C"/>
    <w:rsid w:val="00D503AE"/>
    <w:rsid w:val="00D902BC"/>
    <w:rsid w:val="00DB6115"/>
    <w:rsid w:val="00DC0B87"/>
    <w:rsid w:val="00DC6AB6"/>
    <w:rsid w:val="00E03207"/>
    <w:rsid w:val="00E06641"/>
    <w:rsid w:val="00E06859"/>
    <w:rsid w:val="00E21089"/>
    <w:rsid w:val="00E6070A"/>
    <w:rsid w:val="00EB55EE"/>
    <w:rsid w:val="00F01305"/>
    <w:rsid w:val="00FA0EB6"/>
    <w:rsid w:val="00FE172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816"/>
    <w:pPr>
      <w:suppressAutoHyphens/>
    </w:pPr>
    <w:rPr>
      <w:sz w:val="24"/>
      <w:lang w:val="en-US" w:eastAsia="en-US"/>
    </w:rPr>
  </w:style>
  <w:style w:type="paragraph" w:styleId="Heading1">
    <w:name w:val="heading 1"/>
    <w:basedOn w:val="Normal"/>
    <w:next w:val="Normal"/>
    <w:qFormat/>
    <w:rsid w:val="00FE172A"/>
    <w:pPr>
      <w:keepNext/>
      <w:spacing w:before="240" w:after="60"/>
      <w:outlineLvl w:val="0"/>
    </w:pPr>
    <w:rPr>
      <w:rFonts w:cs="Arial"/>
      <w:b/>
      <w:bCs/>
      <w:kern w:val="32"/>
      <w:sz w:val="32"/>
      <w:szCs w:val="32"/>
    </w:rPr>
  </w:style>
  <w:style w:type="paragraph" w:styleId="Heading2">
    <w:name w:val="heading 2"/>
    <w:basedOn w:val="Normal"/>
    <w:next w:val="Normal"/>
    <w:qFormat/>
    <w:rsid w:val="00FE172A"/>
    <w:pPr>
      <w:keepNext/>
      <w:spacing w:before="240" w:after="60"/>
      <w:outlineLvl w:val="1"/>
    </w:pPr>
    <w:rPr>
      <w:rFonts w:cs="Arial"/>
      <w:b/>
      <w:bCs/>
      <w:i/>
      <w:iCs/>
      <w:sz w:val="28"/>
      <w:szCs w:val="28"/>
    </w:rPr>
  </w:style>
  <w:style w:type="paragraph" w:styleId="Heading3">
    <w:name w:val="heading 3"/>
    <w:basedOn w:val="Normal"/>
    <w:next w:val="Normal"/>
    <w:qFormat/>
    <w:rsid w:val="00FE172A"/>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72A"/>
    <w:pPr>
      <w:tabs>
        <w:tab w:val="center" w:pos="4536"/>
        <w:tab w:val="right" w:pos="9072"/>
      </w:tabs>
      <w:spacing w:line="360" w:lineRule="auto"/>
    </w:pPr>
  </w:style>
  <w:style w:type="paragraph" w:styleId="Footer">
    <w:name w:val="footer"/>
    <w:basedOn w:val="Normal"/>
    <w:pPr>
      <w:tabs>
        <w:tab w:val="center" w:pos="4536"/>
        <w:tab w:val="right" w:pos="9072"/>
      </w:tabs>
      <w:jc w:val="center"/>
    </w:pPr>
    <w:rPr>
      <w:sz w:val="14"/>
    </w:rPr>
  </w:style>
  <w:style w:type="table" w:styleId="TableGrid">
    <w:name w:val="Table Grid"/>
    <w:basedOn w:val="TableNormal"/>
    <w:rsid w:val="00B2087C"/>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087C"/>
    <w:rPr>
      <w:rFonts w:ascii="Tahoma" w:hAnsi="Tahoma" w:cs="Tahoma"/>
      <w:sz w:val="16"/>
      <w:szCs w:val="16"/>
    </w:rPr>
  </w:style>
  <w:style w:type="character" w:styleId="Hyperlink">
    <w:name w:val="Hyperlink"/>
    <w:rsid w:val="009344B7"/>
    <w:rPr>
      <w:color w:val="0000FF"/>
      <w:u w:val="single"/>
    </w:rPr>
  </w:style>
  <w:style w:type="paragraph" w:styleId="CommentText">
    <w:name w:val="annotation text"/>
    <w:basedOn w:val="Normal"/>
    <w:link w:val="CommentTextChar"/>
    <w:rsid w:val="00C66FE0"/>
    <w:rPr>
      <w:sz w:val="20"/>
    </w:rPr>
  </w:style>
  <w:style w:type="character" w:customStyle="1" w:styleId="FooterHyperlink">
    <w:name w:val="FooterHyperlink"/>
    <w:rsid w:val="00FA0EB6"/>
    <w:rPr>
      <w:color w:val="000000"/>
      <w:u w:val="single"/>
    </w:rPr>
  </w:style>
  <w:style w:type="character" w:customStyle="1" w:styleId="CommentTextChar">
    <w:name w:val="Comment Text Char"/>
    <w:link w:val="CommentText"/>
    <w:rsid w:val="00C66FE0"/>
    <w:rPr>
      <w:lang w:val="en-US" w:eastAsia="en-US"/>
    </w:rPr>
  </w:style>
  <w:style w:type="character" w:styleId="FootnoteReference">
    <w:name w:val="footnote reference"/>
    <w:uiPriority w:val="99"/>
    <w:unhideWhenUsed/>
    <w:rsid w:val="00C66FE0"/>
    <w:rPr>
      <w:vertAlign w:val="superscript"/>
    </w:rPr>
  </w:style>
  <w:style w:type="character" w:styleId="CommentReference">
    <w:name w:val="annotation reference"/>
    <w:uiPriority w:val="99"/>
    <w:unhideWhenUsed/>
    <w:rsid w:val="00C66FE0"/>
    <w:rPr>
      <w:sz w:val="16"/>
      <w:szCs w:val="16"/>
    </w:rPr>
  </w:style>
  <w:style w:type="paragraph" w:styleId="CommentSubject">
    <w:name w:val="annotation subject"/>
    <w:basedOn w:val="CommentText"/>
    <w:next w:val="CommentText"/>
    <w:link w:val="CommentSubjectChar"/>
    <w:rsid w:val="00024EF4"/>
    <w:rPr>
      <w:b/>
      <w:bCs/>
    </w:rPr>
  </w:style>
  <w:style w:type="character" w:customStyle="1" w:styleId="CommentSubjectChar">
    <w:name w:val="Comment Subject Char"/>
    <w:link w:val="CommentSubject"/>
    <w:rsid w:val="00024EF4"/>
    <w:rPr>
      <w:b/>
      <w:bCs/>
      <w:lang w:val="en-US" w:eastAsia="en-US"/>
    </w:rPr>
  </w:style>
  <w:style w:type="character" w:styleId="Emphasis">
    <w:name w:val="Emphasis"/>
    <w:uiPriority w:val="20"/>
    <w:qFormat/>
    <w:rsid w:val="001D5E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816"/>
    <w:pPr>
      <w:suppressAutoHyphens/>
    </w:pPr>
    <w:rPr>
      <w:sz w:val="24"/>
      <w:lang w:val="en-US" w:eastAsia="en-US"/>
    </w:rPr>
  </w:style>
  <w:style w:type="paragraph" w:styleId="Heading1">
    <w:name w:val="heading 1"/>
    <w:basedOn w:val="Normal"/>
    <w:next w:val="Normal"/>
    <w:qFormat/>
    <w:rsid w:val="00FE172A"/>
    <w:pPr>
      <w:keepNext/>
      <w:spacing w:before="240" w:after="60"/>
      <w:outlineLvl w:val="0"/>
    </w:pPr>
    <w:rPr>
      <w:rFonts w:cs="Arial"/>
      <w:b/>
      <w:bCs/>
      <w:kern w:val="32"/>
      <w:sz w:val="32"/>
      <w:szCs w:val="32"/>
    </w:rPr>
  </w:style>
  <w:style w:type="paragraph" w:styleId="Heading2">
    <w:name w:val="heading 2"/>
    <w:basedOn w:val="Normal"/>
    <w:next w:val="Normal"/>
    <w:qFormat/>
    <w:rsid w:val="00FE172A"/>
    <w:pPr>
      <w:keepNext/>
      <w:spacing w:before="240" w:after="60"/>
      <w:outlineLvl w:val="1"/>
    </w:pPr>
    <w:rPr>
      <w:rFonts w:cs="Arial"/>
      <w:b/>
      <w:bCs/>
      <w:i/>
      <w:iCs/>
      <w:sz w:val="28"/>
      <w:szCs w:val="28"/>
    </w:rPr>
  </w:style>
  <w:style w:type="paragraph" w:styleId="Heading3">
    <w:name w:val="heading 3"/>
    <w:basedOn w:val="Normal"/>
    <w:next w:val="Normal"/>
    <w:qFormat/>
    <w:rsid w:val="00FE172A"/>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72A"/>
    <w:pPr>
      <w:tabs>
        <w:tab w:val="center" w:pos="4536"/>
        <w:tab w:val="right" w:pos="9072"/>
      </w:tabs>
      <w:spacing w:line="360" w:lineRule="auto"/>
    </w:pPr>
  </w:style>
  <w:style w:type="paragraph" w:styleId="Footer">
    <w:name w:val="footer"/>
    <w:basedOn w:val="Normal"/>
    <w:pPr>
      <w:tabs>
        <w:tab w:val="center" w:pos="4536"/>
        <w:tab w:val="right" w:pos="9072"/>
      </w:tabs>
      <w:jc w:val="center"/>
    </w:pPr>
    <w:rPr>
      <w:sz w:val="14"/>
    </w:rPr>
  </w:style>
  <w:style w:type="table" w:styleId="TableGrid">
    <w:name w:val="Table Grid"/>
    <w:basedOn w:val="TableNormal"/>
    <w:rsid w:val="00B2087C"/>
    <w:pPr>
      <w:suppressAutoHyphens/>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087C"/>
    <w:rPr>
      <w:rFonts w:ascii="Tahoma" w:hAnsi="Tahoma" w:cs="Tahoma"/>
      <w:sz w:val="16"/>
      <w:szCs w:val="16"/>
    </w:rPr>
  </w:style>
  <w:style w:type="character" w:styleId="Hyperlink">
    <w:name w:val="Hyperlink"/>
    <w:rsid w:val="009344B7"/>
    <w:rPr>
      <w:color w:val="0000FF"/>
      <w:u w:val="single"/>
    </w:rPr>
  </w:style>
  <w:style w:type="paragraph" w:styleId="CommentText">
    <w:name w:val="annotation text"/>
    <w:basedOn w:val="Normal"/>
    <w:link w:val="CommentTextChar"/>
    <w:rsid w:val="00C66FE0"/>
    <w:rPr>
      <w:sz w:val="20"/>
    </w:rPr>
  </w:style>
  <w:style w:type="character" w:customStyle="1" w:styleId="FooterHyperlink">
    <w:name w:val="FooterHyperlink"/>
    <w:rsid w:val="00FA0EB6"/>
    <w:rPr>
      <w:color w:val="000000"/>
      <w:u w:val="single"/>
    </w:rPr>
  </w:style>
  <w:style w:type="character" w:customStyle="1" w:styleId="CommentTextChar">
    <w:name w:val="Comment Text Char"/>
    <w:link w:val="CommentText"/>
    <w:rsid w:val="00C66FE0"/>
    <w:rPr>
      <w:lang w:val="en-US" w:eastAsia="en-US"/>
    </w:rPr>
  </w:style>
  <w:style w:type="character" w:styleId="FootnoteReference">
    <w:name w:val="footnote reference"/>
    <w:uiPriority w:val="99"/>
    <w:unhideWhenUsed/>
    <w:rsid w:val="00C66FE0"/>
    <w:rPr>
      <w:vertAlign w:val="superscript"/>
    </w:rPr>
  </w:style>
  <w:style w:type="character" w:styleId="CommentReference">
    <w:name w:val="annotation reference"/>
    <w:uiPriority w:val="99"/>
    <w:unhideWhenUsed/>
    <w:rsid w:val="00C66FE0"/>
    <w:rPr>
      <w:sz w:val="16"/>
      <w:szCs w:val="16"/>
    </w:rPr>
  </w:style>
  <w:style w:type="paragraph" w:styleId="CommentSubject">
    <w:name w:val="annotation subject"/>
    <w:basedOn w:val="CommentText"/>
    <w:next w:val="CommentText"/>
    <w:link w:val="CommentSubjectChar"/>
    <w:rsid w:val="00024EF4"/>
    <w:rPr>
      <w:b/>
      <w:bCs/>
    </w:rPr>
  </w:style>
  <w:style w:type="character" w:customStyle="1" w:styleId="CommentSubjectChar">
    <w:name w:val="Comment Subject Char"/>
    <w:link w:val="CommentSubject"/>
    <w:rsid w:val="00024EF4"/>
    <w:rPr>
      <w:b/>
      <w:bCs/>
      <w:lang w:val="en-US" w:eastAsia="en-US"/>
    </w:rPr>
  </w:style>
  <w:style w:type="character" w:styleId="Emphasis">
    <w:name w:val="Emphasis"/>
    <w:uiPriority w:val="20"/>
    <w:qFormat/>
    <w:rsid w:val="001D5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a@soc.b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ila@soc.b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oscebih.org/" TargetMode="External"/><Relationship Id="rId1" Type="http://schemas.openxmlformats.org/officeDocument/2006/relationships/hyperlink" Target="mailto:info.ba@osce.org" TargetMode="External"/><Relationship Id="rId6" Type="http://schemas.openxmlformats.org/officeDocument/2006/relationships/hyperlink" Target="http://www.Youtube.com/oscebih" TargetMode="External"/><Relationship Id="rId5" Type="http://schemas.openxmlformats.org/officeDocument/2006/relationships/hyperlink" Target="http://www.Twitter.com/oscebih" TargetMode="External"/><Relationship Id="rId4" Type="http://schemas.openxmlformats.org/officeDocument/2006/relationships/hyperlink" Target="http://www.Facebook.com/oscebi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VMatic\OSCE%20MBiH_SOC%20final%20for%20S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OSCE MBiH_SOC final for SOC.dot</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OSCE Mission to BiH</Company>
  <LinksUpToDate>false</LinksUpToDate>
  <CharactersWithSpaces>3955</CharactersWithSpaces>
  <SharedDoc>false</SharedDoc>
  <HLinks>
    <vt:vector size="42" baseType="variant">
      <vt:variant>
        <vt:i4>6684757</vt:i4>
      </vt:variant>
      <vt:variant>
        <vt:i4>3</vt:i4>
      </vt:variant>
      <vt:variant>
        <vt:i4>0</vt:i4>
      </vt:variant>
      <vt:variant>
        <vt:i4>5</vt:i4>
      </vt:variant>
      <vt:variant>
        <vt:lpwstr>mailto:delila@soc.ba</vt:lpwstr>
      </vt:variant>
      <vt:variant>
        <vt:lpwstr/>
      </vt:variant>
      <vt:variant>
        <vt:i4>6684757</vt:i4>
      </vt:variant>
      <vt:variant>
        <vt:i4>0</vt:i4>
      </vt:variant>
      <vt:variant>
        <vt:i4>0</vt:i4>
      </vt:variant>
      <vt:variant>
        <vt:i4>5</vt:i4>
      </vt:variant>
      <vt:variant>
        <vt:lpwstr>mailto:delila@soc.ba</vt:lpwstr>
      </vt:variant>
      <vt:variant>
        <vt:lpwstr/>
      </vt:variant>
      <vt:variant>
        <vt:i4>4128824</vt:i4>
      </vt:variant>
      <vt:variant>
        <vt:i4>18</vt:i4>
      </vt:variant>
      <vt:variant>
        <vt:i4>0</vt:i4>
      </vt:variant>
      <vt:variant>
        <vt:i4>5</vt:i4>
      </vt:variant>
      <vt:variant>
        <vt:lpwstr>http://www.youtube.com/oscebih</vt:lpwstr>
      </vt:variant>
      <vt:variant>
        <vt:lpwstr/>
      </vt:variant>
      <vt:variant>
        <vt:i4>3670055</vt:i4>
      </vt:variant>
      <vt:variant>
        <vt:i4>15</vt:i4>
      </vt:variant>
      <vt:variant>
        <vt:i4>0</vt:i4>
      </vt:variant>
      <vt:variant>
        <vt:i4>5</vt:i4>
      </vt:variant>
      <vt:variant>
        <vt:lpwstr>http://www.twitter.com/oscebih</vt:lpwstr>
      </vt:variant>
      <vt:variant>
        <vt:lpwstr/>
      </vt:variant>
      <vt:variant>
        <vt:i4>3276848</vt:i4>
      </vt:variant>
      <vt:variant>
        <vt:i4>12</vt:i4>
      </vt:variant>
      <vt:variant>
        <vt:i4>0</vt:i4>
      </vt:variant>
      <vt:variant>
        <vt:i4>5</vt:i4>
      </vt:variant>
      <vt:variant>
        <vt:lpwstr>http://www.facebook.com/oscebih</vt:lpwstr>
      </vt:variant>
      <vt:variant>
        <vt:lpwstr/>
      </vt:variant>
      <vt:variant>
        <vt:i4>2424947</vt:i4>
      </vt:variant>
      <vt:variant>
        <vt:i4>9</vt:i4>
      </vt:variant>
      <vt:variant>
        <vt:i4>0</vt:i4>
      </vt:variant>
      <vt:variant>
        <vt:i4>5</vt:i4>
      </vt:variant>
      <vt:variant>
        <vt:lpwstr>http://www.oscebih.org/</vt:lpwstr>
      </vt:variant>
      <vt:variant>
        <vt:lpwstr/>
      </vt:variant>
      <vt:variant>
        <vt:i4>7471120</vt:i4>
      </vt:variant>
      <vt:variant>
        <vt:i4>6</vt:i4>
      </vt:variant>
      <vt:variant>
        <vt:i4>0</vt:i4>
      </vt:variant>
      <vt:variant>
        <vt:i4>5</vt:i4>
      </vt:variant>
      <vt:variant>
        <vt:lpwstr>mailto:info.ba@osce.org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Windows User</dc:creator>
  <cp:lastModifiedBy>Vanja Matic</cp:lastModifiedBy>
  <cp:revision>2</cp:revision>
  <cp:lastPrinted>2012-11-16T10:25:00Z</cp:lastPrinted>
  <dcterms:created xsi:type="dcterms:W3CDTF">2019-07-15T09:50:00Z</dcterms:created>
  <dcterms:modified xsi:type="dcterms:W3CDTF">2019-07-15T09:50:00Z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